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E4A9" w14:textId="75893ADC" w:rsidR="00DF2C8D" w:rsidRDefault="0078563C" w:rsidP="00AD4B74">
      <w:pPr>
        <w:pStyle w:val="Heading1"/>
        <w:spacing w:before="0" w:line="240" w:lineRule="auto"/>
        <w:ind w:left="-142"/>
      </w:pPr>
      <w:bookmarkStart w:id="0" w:name="_GoBack"/>
      <w:bookmarkEnd w:id="0"/>
      <w:r>
        <w:t>Iraq</w:t>
      </w:r>
      <w:r w:rsidR="00270EA3">
        <w:t xml:space="preserve"> DTM Data currently available</w:t>
      </w:r>
      <w:r w:rsidR="00F930C6">
        <w:t xml:space="preserve"> </w:t>
      </w:r>
      <w:r w:rsidR="00F930C6" w:rsidRPr="009112FE">
        <w:t>of interest for Health Colleagues</w:t>
      </w:r>
    </w:p>
    <w:p w14:paraId="55E404D1" w14:textId="77777777" w:rsidR="00FD6232" w:rsidRPr="00413C88" w:rsidRDefault="00FD6232" w:rsidP="00FD6232">
      <w:pPr>
        <w:rPr>
          <w:i/>
          <w:iCs/>
        </w:rPr>
      </w:pPr>
      <w:r>
        <w:rPr>
          <w:i/>
          <w:iCs/>
        </w:rPr>
        <w:t>This is a selection of the</w:t>
      </w:r>
      <w:r w:rsidRPr="00413C88">
        <w:rPr>
          <w:i/>
          <w:iCs/>
        </w:rPr>
        <w:t xml:space="preserve"> information </w:t>
      </w:r>
      <w:r>
        <w:rPr>
          <w:i/>
          <w:iCs/>
        </w:rPr>
        <w:t xml:space="preserve">that </w:t>
      </w:r>
      <w:r w:rsidRPr="00413C88">
        <w:rPr>
          <w:i/>
          <w:iCs/>
        </w:rPr>
        <w:t>are available in the dataset</w:t>
      </w:r>
      <w:r>
        <w:rPr>
          <w:i/>
          <w:iCs/>
        </w:rPr>
        <w:t xml:space="preserve">, possibly of interest for Health colleagues </w:t>
      </w:r>
    </w:p>
    <w:p w14:paraId="61E57AAA" w14:textId="30DB2C32" w:rsidR="00270EA3" w:rsidRPr="00445202" w:rsidRDefault="00445202">
      <w:pPr>
        <w:rPr>
          <w:b/>
          <w:bCs/>
        </w:rPr>
      </w:pPr>
      <w:r>
        <w:t xml:space="preserve">DTM </w:t>
      </w:r>
      <w:r w:rsidR="00270EA3">
        <w:t>Website:</w:t>
      </w:r>
      <w:r w:rsidRPr="00445202">
        <w:t xml:space="preserve"> </w:t>
      </w:r>
      <w:hyperlink r:id="rId8" w:history="1">
        <w:r>
          <w:rPr>
            <w:rStyle w:val="Hyperlink"/>
          </w:rPr>
          <w:t>https://displacement.iom.int/</w:t>
        </w:r>
      </w:hyperlink>
    </w:p>
    <w:p w14:paraId="0CE25BC8" w14:textId="330F7C6D" w:rsidR="00407F4F" w:rsidRDefault="00A32040">
      <w:r>
        <w:t>Iraq</w:t>
      </w:r>
      <w:r w:rsidR="00270EA3">
        <w:t xml:space="preserve"> Website</w:t>
      </w:r>
      <w:r w:rsidR="00407F4F">
        <w:t>s</w:t>
      </w:r>
      <w:r w:rsidR="00270EA3">
        <w:t>:</w:t>
      </w:r>
      <w:r w:rsidR="00445202">
        <w:t xml:space="preserve"> </w:t>
      </w:r>
      <w:hyperlink r:id="rId9" w:history="1">
        <w:r w:rsidR="0078563C">
          <w:rPr>
            <w:rStyle w:val="Hyperlink"/>
          </w:rPr>
          <w:t>https://displacement.iom.int/iraq</w:t>
        </w:r>
      </w:hyperlink>
      <w:r w:rsidR="00E779E2">
        <w:t xml:space="preserve"> (click on bottom bar: </w:t>
      </w:r>
      <w:r w:rsidR="00E779E2" w:rsidRPr="00376584">
        <w:rPr>
          <w:i/>
          <w:iCs/>
        </w:rPr>
        <w:t>Datasets</w:t>
      </w:r>
      <w:r w:rsidR="00E779E2">
        <w:t>)</w:t>
      </w:r>
      <w:r w:rsidR="00407F4F">
        <w:t xml:space="preserve"> and </w:t>
      </w:r>
      <w:hyperlink r:id="rId10" w:history="1">
        <w:r w:rsidR="00407F4F">
          <w:rPr>
            <w:rStyle w:val="Hyperlink"/>
          </w:rPr>
          <w:t>http://iraqdtm.iom.int/</w:t>
        </w:r>
      </w:hyperlink>
    </w:p>
    <w:p w14:paraId="15B7B297" w14:textId="54D51096" w:rsidR="00270EA3" w:rsidRDefault="00270EA3" w:rsidP="00223C02">
      <w:pPr>
        <w:pStyle w:val="Heading1"/>
      </w:pPr>
      <w:r>
        <w:t xml:space="preserve">Datasets: </w:t>
      </w:r>
    </w:p>
    <w:tbl>
      <w:tblPr>
        <w:tblStyle w:val="TableGrid"/>
        <w:tblW w:w="10632" w:type="dxa"/>
        <w:tblInd w:w="-147" w:type="dxa"/>
        <w:tblLayout w:type="fixed"/>
        <w:tblLook w:val="04A0" w:firstRow="1" w:lastRow="0" w:firstColumn="1" w:lastColumn="0" w:noHBand="0" w:noVBand="1"/>
      </w:tblPr>
      <w:tblGrid>
        <w:gridCol w:w="1531"/>
        <w:gridCol w:w="1134"/>
        <w:gridCol w:w="3168"/>
        <w:gridCol w:w="2415"/>
        <w:gridCol w:w="2384"/>
      </w:tblGrid>
      <w:tr w:rsidR="00F909F3" w:rsidRPr="00F909F3" w14:paraId="211F13C6" w14:textId="77777777" w:rsidTr="0099047F">
        <w:tc>
          <w:tcPr>
            <w:tcW w:w="1531" w:type="dxa"/>
            <w:shd w:val="clear" w:color="auto" w:fill="D9E2F3" w:themeFill="accent1" w:themeFillTint="33"/>
          </w:tcPr>
          <w:p w14:paraId="77CA53DF" w14:textId="749818A1" w:rsidR="00F909F3" w:rsidRPr="00F909F3" w:rsidRDefault="00F909F3" w:rsidP="00F909F3">
            <w:pPr>
              <w:jc w:val="center"/>
              <w:rPr>
                <w:b/>
                <w:bCs/>
              </w:rPr>
            </w:pPr>
            <w:r w:rsidRPr="00F909F3">
              <w:rPr>
                <w:b/>
                <w:bCs/>
              </w:rPr>
              <w:t>Datasets Name</w:t>
            </w:r>
          </w:p>
        </w:tc>
        <w:tc>
          <w:tcPr>
            <w:tcW w:w="1134" w:type="dxa"/>
            <w:shd w:val="clear" w:color="auto" w:fill="D9E2F3" w:themeFill="accent1" w:themeFillTint="33"/>
          </w:tcPr>
          <w:p w14:paraId="28009045" w14:textId="33F297F2" w:rsidR="00F909F3" w:rsidRPr="00F909F3" w:rsidRDefault="00F909F3" w:rsidP="00F909F3">
            <w:pPr>
              <w:jc w:val="center"/>
              <w:rPr>
                <w:b/>
                <w:bCs/>
              </w:rPr>
            </w:pPr>
            <w:r w:rsidRPr="00F909F3">
              <w:rPr>
                <w:b/>
                <w:bCs/>
              </w:rPr>
              <w:t>Frequency</w:t>
            </w:r>
          </w:p>
        </w:tc>
        <w:tc>
          <w:tcPr>
            <w:tcW w:w="3168" w:type="dxa"/>
            <w:shd w:val="clear" w:color="auto" w:fill="D9E2F3" w:themeFill="accent1" w:themeFillTint="33"/>
          </w:tcPr>
          <w:p w14:paraId="7D639B5B" w14:textId="29A26403" w:rsidR="00F909F3" w:rsidRPr="00F909F3" w:rsidRDefault="00F909F3" w:rsidP="00F909F3">
            <w:pPr>
              <w:jc w:val="center"/>
              <w:rPr>
                <w:b/>
                <w:bCs/>
              </w:rPr>
            </w:pPr>
            <w:r w:rsidRPr="00F909F3">
              <w:rPr>
                <w:b/>
                <w:bCs/>
              </w:rPr>
              <w:t>Latest available</w:t>
            </w:r>
          </w:p>
        </w:tc>
        <w:tc>
          <w:tcPr>
            <w:tcW w:w="2415" w:type="dxa"/>
            <w:shd w:val="clear" w:color="auto" w:fill="D9E2F3" w:themeFill="accent1" w:themeFillTint="33"/>
          </w:tcPr>
          <w:p w14:paraId="7C8B1BF2" w14:textId="465BEB68" w:rsidR="00F909F3" w:rsidRPr="00F909F3" w:rsidRDefault="00F909F3" w:rsidP="00F909F3">
            <w:pPr>
              <w:jc w:val="center"/>
              <w:rPr>
                <w:b/>
                <w:bCs/>
              </w:rPr>
            </w:pPr>
            <w:r w:rsidRPr="00F909F3">
              <w:rPr>
                <w:b/>
                <w:bCs/>
              </w:rPr>
              <w:t>Date of Data Collection</w:t>
            </w:r>
          </w:p>
        </w:tc>
        <w:tc>
          <w:tcPr>
            <w:tcW w:w="2384" w:type="dxa"/>
            <w:shd w:val="clear" w:color="auto" w:fill="D9E2F3" w:themeFill="accent1" w:themeFillTint="33"/>
          </w:tcPr>
          <w:p w14:paraId="38AB5D17" w14:textId="01358064" w:rsidR="00F909F3" w:rsidRPr="00F909F3" w:rsidRDefault="00F909F3" w:rsidP="00F909F3">
            <w:pPr>
              <w:jc w:val="center"/>
              <w:rPr>
                <w:b/>
                <w:bCs/>
              </w:rPr>
            </w:pPr>
            <w:r w:rsidRPr="00F909F3">
              <w:rPr>
                <w:b/>
                <w:bCs/>
              </w:rPr>
              <w:t>Links</w:t>
            </w:r>
          </w:p>
        </w:tc>
      </w:tr>
      <w:tr w:rsidR="00386C37" w14:paraId="63892ABF" w14:textId="77777777" w:rsidTr="0099047F">
        <w:tc>
          <w:tcPr>
            <w:tcW w:w="1531" w:type="dxa"/>
            <w:shd w:val="clear" w:color="auto" w:fill="auto"/>
          </w:tcPr>
          <w:p w14:paraId="201EE65C" w14:textId="5B764440" w:rsidR="00386C37" w:rsidRPr="0078563C" w:rsidRDefault="00386C37" w:rsidP="00F909F3">
            <w:r>
              <w:t xml:space="preserve">ILA 4 (Integrated </w:t>
            </w:r>
            <w:r w:rsidR="004143FF">
              <w:t>L</w:t>
            </w:r>
            <w:r>
              <w:t>ocation assessment)</w:t>
            </w:r>
          </w:p>
        </w:tc>
        <w:tc>
          <w:tcPr>
            <w:tcW w:w="1134" w:type="dxa"/>
            <w:shd w:val="clear" w:color="auto" w:fill="auto"/>
          </w:tcPr>
          <w:p w14:paraId="5C7809B3" w14:textId="4F2CF77B" w:rsidR="00386C37" w:rsidRDefault="00DE2C34" w:rsidP="00F909F3">
            <w:r>
              <w:t>yearly</w:t>
            </w:r>
          </w:p>
        </w:tc>
        <w:tc>
          <w:tcPr>
            <w:tcW w:w="3168" w:type="dxa"/>
            <w:shd w:val="clear" w:color="auto" w:fill="auto"/>
          </w:tcPr>
          <w:p w14:paraId="0418F8CD" w14:textId="139C93E1" w:rsidR="00386C37" w:rsidRDefault="00407F4F" w:rsidP="00F909F3">
            <w:r>
              <w:t>On DTM Iraq interactive website</w:t>
            </w:r>
          </w:p>
        </w:tc>
        <w:tc>
          <w:tcPr>
            <w:tcW w:w="2415" w:type="dxa"/>
            <w:shd w:val="clear" w:color="auto" w:fill="auto"/>
          </w:tcPr>
          <w:p w14:paraId="4D0D8752" w14:textId="707D6361" w:rsidR="00386C37" w:rsidRDefault="004143FF" w:rsidP="00F909F3">
            <w:r>
              <w:t>May – June 2019</w:t>
            </w:r>
          </w:p>
        </w:tc>
        <w:tc>
          <w:tcPr>
            <w:tcW w:w="2384" w:type="dxa"/>
            <w:shd w:val="clear" w:color="auto" w:fill="auto"/>
          </w:tcPr>
          <w:p w14:paraId="1B0D2D22" w14:textId="3AE16252" w:rsidR="00386C37" w:rsidRDefault="00A80B1A" w:rsidP="00F909F3">
            <w:hyperlink r:id="rId11" w:anchor="Datasets" w:history="1">
              <w:r w:rsidR="004143FF">
                <w:rPr>
                  <w:rStyle w:val="Hyperlink"/>
                </w:rPr>
                <w:t>http://iraqdtm.iom.int/ILA4#Datasets</w:t>
              </w:r>
            </w:hyperlink>
          </w:p>
        </w:tc>
      </w:tr>
      <w:tr w:rsidR="00F909F3" w14:paraId="4E7E94EE" w14:textId="77777777" w:rsidTr="0099047F">
        <w:tc>
          <w:tcPr>
            <w:tcW w:w="1531" w:type="dxa"/>
          </w:tcPr>
          <w:p w14:paraId="11D59DF9" w14:textId="267C0DD9" w:rsidR="00F909F3" w:rsidRDefault="0078563C" w:rsidP="00F909F3">
            <w:r w:rsidRPr="0078563C">
              <w:t>Returnee Master Lists — Round 114</w:t>
            </w:r>
          </w:p>
        </w:tc>
        <w:tc>
          <w:tcPr>
            <w:tcW w:w="1134" w:type="dxa"/>
          </w:tcPr>
          <w:p w14:paraId="4B1A067D" w14:textId="345EACA2" w:rsidR="00F909F3" w:rsidRDefault="0078563C" w:rsidP="00F909F3">
            <w:r>
              <w:t>2</w:t>
            </w:r>
            <w:r w:rsidR="00F909F3">
              <w:t xml:space="preserve"> months</w:t>
            </w:r>
          </w:p>
        </w:tc>
        <w:tc>
          <w:tcPr>
            <w:tcW w:w="3168" w:type="dxa"/>
          </w:tcPr>
          <w:p w14:paraId="7A0E82EA" w14:textId="064F64AB" w:rsidR="00F909F3" w:rsidRDefault="00F909F3" w:rsidP="00F909F3">
            <w:r>
              <w:t xml:space="preserve">On website: Round </w:t>
            </w:r>
            <w:r w:rsidR="0078563C">
              <w:t>114</w:t>
            </w:r>
            <w:r>
              <w:t xml:space="preserve"> – end of March</w:t>
            </w:r>
            <w:r w:rsidR="00110309">
              <w:t xml:space="preserve"> 2020</w:t>
            </w:r>
          </w:p>
          <w:p w14:paraId="0A34FF1B" w14:textId="6299A8B0" w:rsidR="00F909F3" w:rsidRDefault="00F909F3" w:rsidP="0078563C"/>
        </w:tc>
        <w:tc>
          <w:tcPr>
            <w:tcW w:w="2415" w:type="dxa"/>
          </w:tcPr>
          <w:p w14:paraId="5497ECA2" w14:textId="5B6F1BC6" w:rsidR="00F909F3" w:rsidRDefault="0078563C" w:rsidP="00F909F3">
            <w:r>
              <w:t>Round 113</w:t>
            </w:r>
            <w:r w:rsidR="00F909F3">
              <w:t xml:space="preserve">: November </w:t>
            </w:r>
            <w:r>
              <w:t xml:space="preserve">– December </w:t>
            </w:r>
            <w:r w:rsidR="00F909F3">
              <w:t>2019:</w:t>
            </w:r>
          </w:p>
          <w:p w14:paraId="6B369A34" w14:textId="4364A22D" w:rsidR="00F909F3" w:rsidRDefault="00F909F3" w:rsidP="0078563C">
            <w:r>
              <w:t xml:space="preserve">Round </w:t>
            </w:r>
            <w:r w:rsidR="0078563C">
              <w:t>114</w:t>
            </w:r>
            <w:r>
              <w:t xml:space="preserve">: </w:t>
            </w:r>
            <w:r w:rsidR="0078563C">
              <w:t>January -</w:t>
            </w:r>
            <w:r>
              <w:t>February 2020</w:t>
            </w:r>
          </w:p>
        </w:tc>
        <w:tc>
          <w:tcPr>
            <w:tcW w:w="2384" w:type="dxa"/>
          </w:tcPr>
          <w:p w14:paraId="4077C99E" w14:textId="15FBE0DB" w:rsidR="00F909F3" w:rsidRDefault="00A80B1A" w:rsidP="00F909F3">
            <w:hyperlink r:id="rId12" w:history="1">
              <w:r w:rsidR="0078563C">
                <w:rPr>
                  <w:rStyle w:val="Hyperlink"/>
                </w:rPr>
                <w:t>https://displacement.iom.int/datasets/iraq-%E2%80%94-returnee-master-lists-%E2%80%94-round-114</w:t>
              </w:r>
            </w:hyperlink>
          </w:p>
        </w:tc>
      </w:tr>
      <w:tr w:rsidR="00D0437C" w:rsidRPr="00D0437C" w14:paraId="5DD9ABFD" w14:textId="77777777" w:rsidTr="0099047F">
        <w:tc>
          <w:tcPr>
            <w:tcW w:w="1531" w:type="dxa"/>
          </w:tcPr>
          <w:p w14:paraId="7DC4E03E" w14:textId="6F95856F" w:rsidR="00D0437C" w:rsidRPr="00D0437C" w:rsidRDefault="00110309" w:rsidP="00CD66D9">
            <w:r>
              <w:t>IDPs Master Lists – Round 114</w:t>
            </w:r>
          </w:p>
        </w:tc>
        <w:tc>
          <w:tcPr>
            <w:tcW w:w="1134" w:type="dxa"/>
          </w:tcPr>
          <w:p w14:paraId="04DBACE7" w14:textId="1414848D" w:rsidR="00D0437C" w:rsidRPr="00D0437C" w:rsidRDefault="00110309" w:rsidP="00F909F3">
            <w:r>
              <w:t>2 months</w:t>
            </w:r>
          </w:p>
        </w:tc>
        <w:tc>
          <w:tcPr>
            <w:tcW w:w="3168" w:type="dxa"/>
          </w:tcPr>
          <w:p w14:paraId="6C53F1FF" w14:textId="05146AC6" w:rsidR="002C294C" w:rsidRDefault="00110309" w:rsidP="002C294C">
            <w:r>
              <w:t>On website: Round 114</w:t>
            </w:r>
            <w:r w:rsidR="002C294C">
              <w:t xml:space="preserve"> – end of </w:t>
            </w:r>
            <w:r>
              <w:t xml:space="preserve">March </w:t>
            </w:r>
            <w:r w:rsidR="002C294C">
              <w:t>2020</w:t>
            </w:r>
          </w:p>
          <w:p w14:paraId="7A84CF7D" w14:textId="3BE953C3" w:rsidR="00D0437C" w:rsidRPr="00D0437C" w:rsidRDefault="00D0437C" w:rsidP="002C294C"/>
        </w:tc>
        <w:tc>
          <w:tcPr>
            <w:tcW w:w="2415" w:type="dxa"/>
          </w:tcPr>
          <w:p w14:paraId="5867A628" w14:textId="77777777" w:rsidR="00110309" w:rsidRDefault="00110309" w:rsidP="00110309">
            <w:r>
              <w:t>Round 113: November – December 2019:</w:t>
            </w:r>
          </w:p>
          <w:p w14:paraId="5418E9BE" w14:textId="1B5E3A87" w:rsidR="00D0437C" w:rsidRPr="00D0437C" w:rsidRDefault="00110309" w:rsidP="00110309">
            <w:r>
              <w:t>Round 114: January -February 2020</w:t>
            </w:r>
          </w:p>
        </w:tc>
        <w:tc>
          <w:tcPr>
            <w:tcW w:w="2384" w:type="dxa"/>
          </w:tcPr>
          <w:p w14:paraId="5ACBF743" w14:textId="064585CA" w:rsidR="00D0437C" w:rsidRPr="00D0437C" w:rsidRDefault="00A80B1A" w:rsidP="00F909F3">
            <w:hyperlink r:id="rId13" w:history="1">
              <w:r w:rsidR="00110309">
                <w:rPr>
                  <w:rStyle w:val="Hyperlink"/>
                </w:rPr>
                <w:t>https://displacement.iom.int/datasets/iraq-%E2%80%94-idps-master-lists-%E2%80%94-round-114</w:t>
              </w:r>
            </w:hyperlink>
          </w:p>
        </w:tc>
      </w:tr>
    </w:tbl>
    <w:p w14:paraId="2C34F6A5" w14:textId="25244B8E" w:rsidR="00865A30" w:rsidRDefault="00865A30" w:rsidP="00865A30">
      <w:pPr>
        <w:rPr>
          <w:i/>
          <w:iCs/>
          <w:color w:val="C00000"/>
        </w:rPr>
      </w:pPr>
      <w:r w:rsidRPr="00865A30">
        <w:rPr>
          <w:i/>
          <w:iCs/>
          <w:color w:val="C00000"/>
        </w:rPr>
        <w:t xml:space="preserve">Write to </w:t>
      </w:r>
      <w:hyperlink r:id="rId14" w:history="1">
        <w:r w:rsidRPr="00865A30">
          <w:rPr>
            <w:rStyle w:val="Hyperlink"/>
            <w:i/>
            <w:iCs/>
            <w:color w:val="C00000"/>
          </w:rPr>
          <w:t>DTMSupport@iom.int</w:t>
        </w:r>
      </w:hyperlink>
      <w:r w:rsidRPr="00865A30">
        <w:rPr>
          <w:i/>
          <w:iCs/>
          <w:color w:val="C00000"/>
        </w:rPr>
        <w:t xml:space="preserve"> for non -public datasets</w:t>
      </w:r>
    </w:p>
    <w:p w14:paraId="640A6F4E" w14:textId="3DBA394C" w:rsidR="00223C02" w:rsidRDefault="00223C02" w:rsidP="00AD4B74">
      <w:pPr>
        <w:pStyle w:val="Heading2"/>
        <w:ind w:left="142"/>
      </w:pPr>
      <w:r>
        <w:t>Purpose of data collection exercise</w:t>
      </w:r>
    </w:p>
    <w:p w14:paraId="2488CA6D" w14:textId="04E92909" w:rsidR="00834360" w:rsidRDefault="00834360" w:rsidP="0078563C">
      <w:pPr>
        <w:pStyle w:val="ListParagraph"/>
        <w:numPr>
          <w:ilvl w:val="0"/>
          <w:numId w:val="1"/>
        </w:numPr>
      </w:pPr>
      <w:r w:rsidRPr="00834360">
        <w:t>Location Assessment provides an in-depth look into the situation of displaced and returning populations in Iraq, putting a special focus on profiling the locations in which these groups live. This includes the demographic composition of locations, state of infrastructure, services, security, social cohesion and movement intentions for IDPs. IOM’s Rapid Assessment and Response Teams (RARTs) collect data through interviews with key informants once a year, with the latest round being conducted from 1 May to 30 June 2019 (ILA Round IV).</w:t>
      </w:r>
    </w:p>
    <w:p w14:paraId="61D8F0A8" w14:textId="7585AE9E" w:rsidR="00B2245B" w:rsidRDefault="0078563C" w:rsidP="0078563C">
      <w:pPr>
        <w:pStyle w:val="ListParagraph"/>
        <w:numPr>
          <w:ilvl w:val="0"/>
          <w:numId w:val="1"/>
        </w:numPr>
      </w:pPr>
      <w:r w:rsidRPr="0078563C">
        <w:t xml:space="preserve">The IDP and Returnees Master Lists collect information on numbers and locations of IDP and returnee families through an ongoing data collection system that identifies and routinely updates </w:t>
      </w:r>
      <w:proofErr w:type="gramStart"/>
      <w:r w:rsidRPr="0078563C">
        <w:t>figures</w:t>
      </w:r>
      <w:proofErr w:type="gramEnd"/>
      <w:r w:rsidRPr="0078563C">
        <w:t xml:space="preserve"> through contacts with key informants. The unit of observation is the location. </w:t>
      </w:r>
    </w:p>
    <w:p w14:paraId="1DD3FCCB" w14:textId="77777777" w:rsidR="005D785F" w:rsidRPr="00D0437C" w:rsidRDefault="005D785F" w:rsidP="005D785F">
      <w:pPr>
        <w:pStyle w:val="ListParagraph"/>
        <w:ind w:left="142"/>
      </w:pPr>
    </w:p>
    <w:p w14:paraId="726A629F" w14:textId="3A3F85E2" w:rsidR="00223C02" w:rsidRDefault="00223C02" w:rsidP="00223C02">
      <w:pPr>
        <w:pStyle w:val="Heading2"/>
      </w:pPr>
      <w:r>
        <w:t>Information that may be relevant for WHO/Health actors</w:t>
      </w:r>
    </w:p>
    <w:tbl>
      <w:tblPr>
        <w:tblStyle w:val="TableGrid"/>
        <w:tblW w:w="10348" w:type="dxa"/>
        <w:tblInd w:w="-147" w:type="dxa"/>
        <w:tblLook w:val="04A0" w:firstRow="1" w:lastRow="0" w:firstColumn="1" w:lastColumn="0" w:noHBand="0" w:noVBand="1"/>
      </w:tblPr>
      <w:tblGrid>
        <w:gridCol w:w="283"/>
        <w:gridCol w:w="10065"/>
      </w:tblGrid>
      <w:tr w:rsidR="00DE3916" w:rsidRPr="00DE3916" w14:paraId="35E4F70C" w14:textId="77777777" w:rsidTr="00B406F8">
        <w:tc>
          <w:tcPr>
            <w:tcW w:w="10348" w:type="dxa"/>
            <w:gridSpan w:val="2"/>
            <w:shd w:val="clear" w:color="auto" w:fill="B4C6E7" w:themeFill="accent1" w:themeFillTint="66"/>
          </w:tcPr>
          <w:p w14:paraId="6E405AB6" w14:textId="03527A5A" w:rsidR="00DE3916" w:rsidRPr="00DE3916" w:rsidRDefault="00DE3916" w:rsidP="00DE3916">
            <w:pPr>
              <w:ind w:left="-12"/>
              <w:jc w:val="center"/>
              <w:rPr>
                <w:rFonts w:cstheme="minorHAnsi"/>
                <w:b/>
                <w:bCs/>
                <w:sz w:val="26"/>
                <w:szCs w:val="26"/>
              </w:rPr>
            </w:pPr>
            <w:r w:rsidRPr="00DE3916">
              <w:rPr>
                <w:b/>
                <w:bCs/>
                <w:sz w:val="26"/>
                <w:szCs w:val="26"/>
              </w:rPr>
              <w:t>ILA 4 (Integrated Location assessment)</w:t>
            </w:r>
            <w:r w:rsidR="0010477D">
              <w:rPr>
                <w:b/>
                <w:bCs/>
                <w:sz w:val="26"/>
                <w:szCs w:val="26"/>
              </w:rPr>
              <w:t xml:space="preserve"> -IDPs and returnees</w:t>
            </w:r>
          </w:p>
        </w:tc>
      </w:tr>
      <w:tr w:rsidR="00C2797A" w:rsidRPr="00570122" w14:paraId="3152CB08" w14:textId="77777777" w:rsidTr="00B406F8">
        <w:tc>
          <w:tcPr>
            <w:tcW w:w="283" w:type="dxa"/>
            <w:shd w:val="clear" w:color="auto" w:fill="FBE4D5" w:themeFill="accent2" w:themeFillTint="33"/>
          </w:tcPr>
          <w:p w14:paraId="783340EF" w14:textId="77777777" w:rsidR="00C2797A" w:rsidRPr="00570122" w:rsidRDefault="00C2797A" w:rsidP="00B406F8">
            <w:pPr>
              <w:ind w:left="-12"/>
              <w:rPr>
                <w:rFonts w:cstheme="minorHAnsi"/>
                <w:b/>
                <w:bCs/>
              </w:rPr>
            </w:pPr>
          </w:p>
        </w:tc>
        <w:tc>
          <w:tcPr>
            <w:tcW w:w="10065" w:type="dxa"/>
            <w:shd w:val="clear" w:color="auto" w:fill="FBE4D5" w:themeFill="accent2" w:themeFillTint="33"/>
          </w:tcPr>
          <w:p w14:paraId="614F112D" w14:textId="77777777" w:rsidR="00C2797A" w:rsidRPr="00570122" w:rsidRDefault="00C2797A" w:rsidP="00B406F8">
            <w:pPr>
              <w:ind w:left="-12"/>
              <w:rPr>
                <w:rFonts w:cstheme="minorHAnsi"/>
                <w:b/>
                <w:bCs/>
              </w:rPr>
            </w:pPr>
            <w:r w:rsidRPr="00570122">
              <w:rPr>
                <w:rFonts w:cstheme="minorHAnsi"/>
                <w:b/>
                <w:bCs/>
              </w:rPr>
              <w:t xml:space="preserve">General and Geographical information </w:t>
            </w:r>
          </w:p>
        </w:tc>
      </w:tr>
      <w:tr w:rsidR="00623F71" w:rsidRPr="00570122" w14:paraId="7E28B606" w14:textId="77777777" w:rsidTr="009A0B42">
        <w:tc>
          <w:tcPr>
            <w:tcW w:w="283" w:type="dxa"/>
            <w:shd w:val="clear" w:color="auto" w:fill="auto"/>
          </w:tcPr>
          <w:p w14:paraId="07E5A846" w14:textId="77777777" w:rsidR="00623F71" w:rsidRPr="00570122" w:rsidRDefault="00623F71" w:rsidP="00623F71">
            <w:pPr>
              <w:ind w:left="-12"/>
              <w:rPr>
                <w:rFonts w:cstheme="minorHAnsi"/>
                <w:b/>
                <w:bCs/>
              </w:rPr>
            </w:pPr>
          </w:p>
        </w:tc>
        <w:tc>
          <w:tcPr>
            <w:tcW w:w="10065" w:type="dxa"/>
            <w:shd w:val="clear" w:color="auto" w:fill="auto"/>
          </w:tcPr>
          <w:p w14:paraId="107546C5" w14:textId="7DC04013" w:rsidR="00623F71" w:rsidRPr="00570122" w:rsidRDefault="00623F71" w:rsidP="00623F71">
            <w:pPr>
              <w:ind w:left="-12"/>
              <w:rPr>
                <w:rFonts w:cstheme="minorHAnsi"/>
                <w:b/>
                <w:bCs/>
              </w:rPr>
            </w:pPr>
            <w:r w:rsidRPr="00570122">
              <w:rPr>
                <w:rFonts w:cstheme="minorHAnsi"/>
              </w:rPr>
              <w:t>Name</w:t>
            </w:r>
            <w:r>
              <w:rPr>
                <w:rFonts w:cstheme="minorHAnsi"/>
              </w:rPr>
              <w:t>, Place ID</w:t>
            </w:r>
            <w:r w:rsidRPr="00570122">
              <w:rPr>
                <w:rFonts w:cstheme="minorHAnsi"/>
              </w:rPr>
              <w:t xml:space="preserve"> </w:t>
            </w:r>
          </w:p>
        </w:tc>
      </w:tr>
      <w:tr w:rsidR="00623F71" w:rsidRPr="00570122" w14:paraId="3564F964" w14:textId="77777777" w:rsidTr="009A0B42">
        <w:tc>
          <w:tcPr>
            <w:tcW w:w="283" w:type="dxa"/>
            <w:shd w:val="clear" w:color="auto" w:fill="auto"/>
          </w:tcPr>
          <w:p w14:paraId="1B6DD8A0" w14:textId="77777777" w:rsidR="00623F71" w:rsidRPr="00570122" w:rsidRDefault="00623F71" w:rsidP="00623F71">
            <w:pPr>
              <w:ind w:left="-12"/>
              <w:rPr>
                <w:rFonts w:cstheme="minorHAnsi"/>
                <w:b/>
                <w:bCs/>
              </w:rPr>
            </w:pPr>
          </w:p>
        </w:tc>
        <w:tc>
          <w:tcPr>
            <w:tcW w:w="10065" w:type="dxa"/>
            <w:shd w:val="clear" w:color="auto" w:fill="auto"/>
          </w:tcPr>
          <w:p w14:paraId="601C3688" w14:textId="76371C15" w:rsidR="00623F71" w:rsidRPr="00570122" w:rsidRDefault="00623F71" w:rsidP="00623F71">
            <w:pPr>
              <w:ind w:left="-12"/>
              <w:rPr>
                <w:rFonts w:cstheme="minorHAnsi"/>
              </w:rPr>
            </w:pPr>
            <w:r>
              <w:rPr>
                <w:rFonts w:cstheme="minorHAnsi"/>
              </w:rPr>
              <w:t>Returnees and IDPs numbers and locations</w:t>
            </w:r>
          </w:p>
        </w:tc>
      </w:tr>
      <w:tr w:rsidR="00623F71" w:rsidRPr="00570122" w14:paraId="5CE7FDC5" w14:textId="77777777" w:rsidTr="009A0B42">
        <w:tc>
          <w:tcPr>
            <w:tcW w:w="283" w:type="dxa"/>
            <w:shd w:val="clear" w:color="auto" w:fill="auto"/>
          </w:tcPr>
          <w:p w14:paraId="552E7F2F" w14:textId="77777777" w:rsidR="00623F71" w:rsidRPr="00570122" w:rsidRDefault="00623F71" w:rsidP="00623F71">
            <w:pPr>
              <w:ind w:left="-12"/>
              <w:rPr>
                <w:rFonts w:cstheme="minorHAnsi"/>
                <w:b/>
                <w:bCs/>
              </w:rPr>
            </w:pPr>
          </w:p>
        </w:tc>
        <w:tc>
          <w:tcPr>
            <w:tcW w:w="10065" w:type="dxa"/>
            <w:shd w:val="clear" w:color="auto" w:fill="auto"/>
          </w:tcPr>
          <w:p w14:paraId="73D21120" w14:textId="6D3C6F88" w:rsidR="00623F71" w:rsidRPr="00570122" w:rsidRDefault="00623F71" w:rsidP="00623F71">
            <w:pPr>
              <w:ind w:left="-12"/>
              <w:rPr>
                <w:rFonts w:cstheme="minorHAnsi"/>
                <w:b/>
                <w:bCs/>
              </w:rPr>
            </w:pPr>
            <w:r w:rsidRPr="00570122">
              <w:rPr>
                <w:rFonts w:cstheme="minorHAnsi"/>
              </w:rPr>
              <w:t xml:space="preserve">Geographical coordinate of </w:t>
            </w:r>
            <w:r>
              <w:rPr>
                <w:rFonts w:cstheme="minorHAnsi"/>
              </w:rPr>
              <w:t xml:space="preserve">locations </w:t>
            </w:r>
            <w:r w:rsidRPr="00570122">
              <w:rPr>
                <w:rFonts w:cstheme="minorHAnsi"/>
              </w:rPr>
              <w:t>(GPS Long and Lat)</w:t>
            </w:r>
          </w:p>
        </w:tc>
      </w:tr>
      <w:tr w:rsidR="00623F71" w:rsidRPr="00570122" w14:paraId="5FEF1876" w14:textId="77777777" w:rsidTr="009A0B42">
        <w:tc>
          <w:tcPr>
            <w:tcW w:w="283" w:type="dxa"/>
            <w:shd w:val="clear" w:color="auto" w:fill="auto"/>
          </w:tcPr>
          <w:p w14:paraId="2FC9CF04" w14:textId="77777777" w:rsidR="00623F71" w:rsidRPr="00570122" w:rsidRDefault="00623F71" w:rsidP="00623F71">
            <w:pPr>
              <w:ind w:left="-12"/>
              <w:rPr>
                <w:rFonts w:cstheme="minorHAnsi"/>
                <w:b/>
                <w:bCs/>
              </w:rPr>
            </w:pPr>
          </w:p>
        </w:tc>
        <w:tc>
          <w:tcPr>
            <w:tcW w:w="10065" w:type="dxa"/>
            <w:shd w:val="clear" w:color="auto" w:fill="auto"/>
          </w:tcPr>
          <w:p w14:paraId="6C179654" w14:textId="1CC2878F" w:rsidR="00623F71" w:rsidRPr="00570122" w:rsidRDefault="00623F71" w:rsidP="00623F71">
            <w:pPr>
              <w:ind w:left="-12"/>
              <w:rPr>
                <w:rFonts w:cstheme="minorHAnsi"/>
                <w:b/>
                <w:bCs/>
              </w:rPr>
            </w:pPr>
            <w:r w:rsidRPr="00570122">
              <w:rPr>
                <w:rFonts w:cstheme="minorHAnsi"/>
              </w:rPr>
              <w:t xml:space="preserve">Administrative levels: </w:t>
            </w:r>
            <w:r>
              <w:rPr>
                <w:rFonts w:cstheme="minorHAnsi"/>
              </w:rPr>
              <w:t>Governorate, District, Sub-District, Place and Location name in Arabic and in English</w:t>
            </w:r>
          </w:p>
        </w:tc>
      </w:tr>
      <w:tr w:rsidR="00171395" w:rsidRPr="00570122" w14:paraId="700D71B7" w14:textId="77777777" w:rsidTr="00B406F8">
        <w:tc>
          <w:tcPr>
            <w:tcW w:w="283" w:type="dxa"/>
            <w:shd w:val="clear" w:color="auto" w:fill="FBE4D5" w:themeFill="accent2" w:themeFillTint="33"/>
          </w:tcPr>
          <w:p w14:paraId="16AEA7A8" w14:textId="77777777" w:rsidR="00171395" w:rsidRPr="00570122" w:rsidRDefault="00171395" w:rsidP="00B406F8">
            <w:pPr>
              <w:ind w:left="-12"/>
              <w:rPr>
                <w:rFonts w:cstheme="minorHAnsi"/>
                <w:b/>
                <w:bCs/>
              </w:rPr>
            </w:pPr>
          </w:p>
        </w:tc>
        <w:tc>
          <w:tcPr>
            <w:tcW w:w="10065" w:type="dxa"/>
            <w:shd w:val="clear" w:color="auto" w:fill="FBE4D5" w:themeFill="accent2" w:themeFillTint="33"/>
          </w:tcPr>
          <w:p w14:paraId="45628823" w14:textId="77777777" w:rsidR="00171395" w:rsidRPr="00570122" w:rsidRDefault="00171395" w:rsidP="00B406F8">
            <w:pPr>
              <w:ind w:left="-12"/>
              <w:rPr>
                <w:rFonts w:cstheme="minorHAnsi"/>
                <w:b/>
                <w:bCs/>
              </w:rPr>
            </w:pPr>
            <w:r w:rsidRPr="00570122">
              <w:rPr>
                <w:rFonts w:cstheme="minorHAnsi"/>
                <w:b/>
                <w:bCs/>
              </w:rPr>
              <w:t xml:space="preserve">Handwashing and Hygiene related </w:t>
            </w:r>
          </w:p>
        </w:tc>
      </w:tr>
      <w:tr w:rsidR="00B5543C" w:rsidRPr="00570122" w14:paraId="03345AA3" w14:textId="77777777" w:rsidTr="009A0B42">
        <w:tc>
          <w:tcPr>
            <w:tcW w:w="283" w:type="dxa"/>
            <w:shd w:val="clear" w:color="auto" w:fill="auto"/>
          </w:tcPr>
          <w:p w14:paraId="4C1D34F7" w14:textId="77777777" w:rsidR="00B5543C" w:rsidRPr="00570122" w:rsidRDefault="00B5543C" w:rsidP="00623F71">
            <w:pPr>
              <w:ind w:left="-12"/>
              <w:rPr>
                <w:rFonts w:cstheme="minorHAnsi"/>
                <w:b/>
                <w:bCs/>
              </w:rPr>
            </w:pPr>
          </w:p>
        </w:tc>
        <w:tc>
          <w:tcPr>
            <w:tcW w:w="10065" w:type="dxa"/>
            <w:shd w:val="clear" w:color="auto" w:fill="auto"/>
          </w:tcPr>
          <w:p w14:paraId="1785CDC9" w14:textId="10F0819E" w:rsidR="00B5543C" w:rsidRPr="00570122" w:rsidRDefault="00171395" w:rsidP="00623F71">
            <w:pPr>
              <w:ind w:left="-12"/>
              <w:rPr>
                <w:rFonts w:cstheme="minorHAnsi"/>
              </w:rPr>
            </w:pPr>
            <w:r w:rsidRPr="00171395">
              <w:rPr>
                <w:rFonts w:cstheme="minorHAnsi"/>
                <w:b/>
                <w:bCs/>
              </w:rPr>
              <w:t>Water Sufficiency</w:t>
            </w:r>
            <w:r w:rsidRPr="00171395">
              <w:rPr>
                <w:rFonts w:cstheme="minorHAnsi"/>
              </w:rPr>
              <w:t xml:space="preserve"> (All or nearly all have enough water (75-100%), Most the households have enough water (50-74%); Less than half the households have enough water (25-49%), Less than a quarter have enough water (1-24%), None of the households have enough water (0%)</w:t>
            </w:r>
          </w:p>
        </w:tc>
      </w:tr>
      <w:tr w:rsidR="000573A1" w:rsidRPr="000573A1" w14:paraId="3B0A31EE" w14:textId="77777777" w:rsidTr="009A0B42">
        <w:tc>
          <w:tcPr>
            <w:tcW w:w="283" w:type="dxa"/>
            <w:shd w:val="clear" w:color="auto" w:fill="auto"/>
          </w:tcPr>
          <w:p w14:paraId="51A8BC2A" w14:textId="77777777" w:rsidR="000573A1" w:rsidRPr="000573A1" w:rsidRDefault="000573A1" w:rsidP="00623F71">
            <w:pPr>
              <w:ind w:left="-12"/>
              <w:rPr>
                <w:rFonts w:cstheme="minorHAnsi"/>
              </w:rPr>
            </w:pPr>
          </w:p>
        </w:tc>
        <w:tc>
          <w:tcPr>
            <w:tcW w:w="10065" w:type="dxa"/>
            <w:shd w:val="clear" w:color="auto" w:fill="auto"/>
          </w:tcPr>
          <w:p w14:paraId="51476568" w14:textId="1E081976" w:rsidR="000573A1" w:rsidRPr="000573A1" w:rsidRDefault="000573A1" w:rsidP="00623F71">
            <w:pPr>
              <w:ind w:left="-12"/>
              <w:rPr>
                <w:rFonts w:cstheme="minorHAnsi"/>
              </w:rPr>
            </w:pPr>
            <w:r w:rsidRPr="000573A1">
              <w:rPr>
                <w:rFonts w:cstheme="minorHAnsi"/>
              </w:rPr>
              <w:t xml:space="preserve">Rely </w:t>
            </w:r>
            <w:proofErr w:type="gramStart"/>
            <w:r w:rsidRPr="000573A1">
              <w:rPr>
                <w:rFonts w:cstheme="minorHAnsi"/>
              </w:rPr>
              <w:t>On</w:t>
            </w:r>
            <w:proofErr w:type="gramEnd"/>
            <w:r w:rsidRPr="000573A1">
              <w:rPr>
                <w:rFonts w:cstheme="minorHAnsi"/>
              </w:rPr>
              <w:t xml:space="preserve"> Water Trucking (yes, always; Yes, sometimes; No)</w:t>
            </w:r>
          </w:p>
        </w:tc>
      </w:tr>
      <w:tr w:rsidR="00C01DD0" w:rsidRPr="000573A1" w14:paraId="268C67EC" w14:textId="77777777" w:rsidTr="009A0B42">
        <w:tc>
          <w:tcPr>
            <w:tcW w:w="283" w:type="dxa"/>
            <w:shd w:val="clear" w:color="auto" w:fill="auto"/>
          </w:tcPr>
          <w:p w14:paraId="24B8A7B5" w14:textId="77777777" w:rsidR="00C01DD0" w:rsidRPr="000573A1" w:rsidRDefault="00C01DD0" w:rsidP="00C01DD0">
            <w:pPr>
              <w:ind w:left="-12"/>
              <w:rPr>
                <w:rFonts w:cstheme="minorHAnsi"/>
              </w:rPr>
            </w:pPr>
          </w:p>
        </w:tc>
        <w:tc>
          <w:tcPr>
            <w:tcW w:w="10065" w:type="dxa"/>
            <w:shd w:val="clear" w:color="auto" w:fill="auto"/>
          </w:tcPr>
          <w:p w14:paraId="5B0694EE" w14:textId="64C3CD28" w:rsidR="00C01DD0" w:rsidRPr="000573A1" w:rsidRDefault="00C01DD0" w:rsidP="00C01DD0">
            <w:pPr>
              <w:ind w:left="-12"/>
              <w:rPr>
                <w:rFonts w:cstheme="minorHAnsi"/>
              </w:rPr>
            </w:pPr>
            <w:r w:rsidRPr="00925D01">
              <w:t>Existing problems with Water Source (Yes/No)</w:t>
            </w:r>
          </w:p>
        </w:tc>
      </w:tr>
      <w:tr w:rsidR="00C01DD0" w:rsidRPr="000573A1" w14:paraId="45F57020" w14:textId="77777777" w:rsidTr="009A0B42">
        <w:tc>
          <w:tcPr>
            <w:tcW w:w="283" w:type="dxa"/>
            <w:shd w:val="clear" w:color="auto" w:fill="auto"/>
          </w:tcPr>
          <w:p w14:paraId="572689AB" w14:textId="77777777" w:rsidR="00C01DD0" w:rsidRPr="000573A1" w:rsidRDefault="00C01DD0" w:rsidP="00C01DD0">
            <w:pPr>
              <w:ind w:left="-12"/>
              <w:rPr>
                <w:rFonts w:cstheme="minorHAnsi"/>
              </w:rPr>
            </w:pPr>
          </w:p>
        </w:tc>
        <w:tc>
          <w:tcPr>
            <w:tcW w:w="10065" w:type="dxa"/>
            <w:shd w:val="clear" w:color="auto" w:fill="auto"/>
          </w:tcPr>
          <w:p w14:paraId="7C7C41CE" w14:textId="46A258DD" w:rsidR="00C01DD0" w:rsidRPr="000573A1" w:rsidRDefault="00C01DD0" w:rsidP="00C01DD0">
            <w:pPr>
              <w:ind w:left="-12"/>
              <w:rPr>
                <w:rFonts w:cstheme="minorHAnsi"/>
              </w:rPr>
            </w:pPr>
            <w:r w:rsidRPr="00925D01">
              <w:t>Existing Waste Management (Yes/No)</w:t>
            </w:r>
          </w:p>
        </w:tc>
      </w:tr>
      <w:tr w:rsidR="00C01DD0" w:rsidRPr="000573A1" w14:paraId="41F28F7B" w14:textId="77777777" w:rsidTr="009A0B42">
        <w:tc>
          <w:tcPr>
            <w:tcW w:w="283" w:type="dxa"/>
            <w:shd w:val="clear" w:color="auto" w:fill="auto"/>
          </w:tcPr>
          <w:p w14:paraId="386FAFF9" w14:textId="77777777" w:rsidR="00C01DD0" w:rsidRPr="000573A1" w:rsidRDefault="00C01DD0" w:rsidP="00C01DD0">
            <w:pPr>
              <w:ind w:left="-12"/>
              <w:rPr>
                <w:rFonts w:cstheme="minorHAnsi"/>
              </w:rPr>
            </w:pPr>
          </w:p>
        </w:tc>
        <w:tc>
          <w:tcPr>
            <w:tcW w:w="10065" w:type="dxa"/>
            <w:shd w:val="clear" w:color="auto" w:fill="auto"/>
          </w:tcPr>
          <w:p w14:paraId="2FBEB355" w14:textId="5D37EE40" w:rsidR="00C01DD0" w:rsidRPr="000573A1" w:rsidRDefault="00C01DD0" w:rsidP="00C01DD0">
            <w:pPr>
              <w:ind w:left="-12"/>
              <w:rPr>
                <w:rFonts w:cstheme="minorHAnsi"/>
              </w:rPr>
            </w:pPr>
            <w:r w:rsidRPr="00925D01">
              <w:t>Latrines Access (Yes/No)</w:t>
            </w:r>
          </w:p>
        </w:tc>
      </w:tr>
      <w:tr w:rsidR="00522902" w:rsidRPr="000573A1" w14:paraId="0D039397" w14:textId="77777777" w:rsidTr="009A0B42">
        <w:tc>
          <w:tcPr>
            <w:tcW w:w="283" w:type="dxa"/>
            <w:shd w:val="clear" w:color="auto" w:fill="auto"/>
          </w:tcPr>
          <w:p w14:paraId="14ABFD38" w14:textId="77777777" w:rsidR="00522902" w:rsidRPr="000573A1" w:rsidRDefault="00522902" w:rsidP="00C01DD0">
            <w:pPr>
              <w:ind w:left="-12"/>
              <w:rPr>
                <w:rFonts w:cstheme="minorHAnsi"/>
              </w:rPr>
            </w:pPr>
          </w:p>
        </w:tc>
        <w:tc>
          <w:tcPr>
            <w:tcW w:w="10065" w:type="dxa"/>
            <w:shd w:val="clear" w:color="auto" w:fill="auto"/>
          </w:tcPr>
          <w:p w14:paraId="251E0DC9" w14:textId="413BDC68" w:rsidR="00522902" w:rsidRPr="00925D01" w:rsidRDefault="00841F18" w:rsidP="00841F18">
            <w:r>
              <w:rPr>
                <w:rFonts w:ascii="Calibri" w:eastAsia="Times New Roman" w:hAnsi="Calibri" w:cs="Calibri"/>
                <w:color w:val="000000"/>
                <w:lang w:eastAsia="en-GB"/>
              </w:rPr>
              <w:t>Problems with Drinking water (</w:t>
            </w:r>
            <w:r w:rsidRPr="00841F18">
              <w:rPr>
                <w:rFonts w:ascii="Calibri" w:eastAsia="Times New Roman" w:hAnsi="Calibri" w:cs="Calibri"/>
                <w:color w:val="000000"/>
                <w:lang w:eastAsia="en-GB"/>
              </w:rPr>
              <w:t>Difficult access (too far, too hard to access)</w:t>
            </w:r>
            <w:r>
              <w:rPr>
                <w:rFonts w:ascii="Calibri" w:eastAsia="Times New Roman" w:hAnsi="Calibri" w:cs="Calibri"/>
                <w:color w:val="000000"/>
                <w:lang w:eastAsia="en-GB"/>
              </w:rPr>
              <w:t xml:space="preserve">; </w:t>
            </w:r>
            <w:r w:rsidRPr="00841F18">
              <w:rPr>
                <w:rFonts w:ascii="Calibri" w:eastAsia="Times New Roman" w:hAnsi="Calibri" w:cs="Calibri"/>
                <w:color w:val="000000"/>
                <w:lang w:eastAsia="en-GB"/>
              </w:rPr>
              <w:t>Price (too expensive)</w:t>
            </w:r>
            <w:r>
              <w:rPr>
                <w:rFonts w:ascii="Calibri" w:eastAsia="Times New Roman" w:hAnsi="Calibri" w:cs="Calibri"/>
                <w:color w:val="000000"/>
                <w:lang w:eastAsia="en-GB"/>
              </w:rPr>
              <w:t xml:space="preserve">; </w:t>
            </w:r>
            <w:r w:rsidRPr="00841F18">
              <w:rPr>
                <w:rFonts w:ascii="Calibri" w:eastAsia="Times New Roman" w:hAnsi="Calibri" w:cs="Calibri"/>
                <w:color w:val="000000"/>
                <w:lang w:eastAsia="en-GB"/>
              </w:rPr>
              <w:t xml:space="preserve">Quality </w:t>
            </w:r>
            <w:r w:rsidRPr="00841F18">
              <w:rPr>
                <w:rFonts w:ascii="Calibri" w:eastAsia="Times New Roman" w:hAnsi="Calibri" w:cs="Calibri"/>
                <w:color w:val="000000"/>
                <w:lang w:eastAsia="en-GB"/>
              </w:rPr>
              <w:lastRenderedPageBreak/>
              <w:t>(poor quality, not safe/contaminated)</w:t>
            </w:r>
            <w:r>
              <w:rPr>
                <w:rFonts w:ascii="Calibri" w:eastAsia="Times New Roman" w:hAnsi="Calibri" w:cs="Calibri"/>
                <w:color w:val="000000"/>
                <w:lang w:eastAsia="en-GB"/>
              </w:rPr>
              <w:t xml:space="preserve">; </w:t>
            </w:r>
            <w:r w:rsidRPr="00841F18">
              <w:rPr>
                <w:rFonts w:ascii="Calibri" w:eastAsia="Times New Roman" w:hAnsi="Calibri" w:cs="Calibri"/>
                <w:color w:val="000000"/>
                <w:lang w:eastAsia="en-GB"/>
              </w:rPr>
              <w:t>Quantity (not enough, inconsistent or sporadic supply)</w:t>
            </w:r>
            <w:r>
              <w:rPr>
                <w:rFonts w:ascii="Calibri" w:eastAsia="Times New Roman" w:hAnsi="Calibri" w:cs="Calibri"/>
                <w:color w:val="000000"/>
                <w:lang w:eastAsia="en-GB"/>
              </w:rPr>
              <w:t xml:space="preserve">; </w:t>
            </w:r>
            <w:r w:rsidRPr="00841F18">
              <w:rPr>
                <w:rFonts w:ascii="Calibri" w:eastAsia="Times New Roman" w:hAnsi="Calibri" w:cs="Calibri"/>
                <w:color w:val="000000"/>
                <w:lang w:eastAsia="en-GB"/>
              </w:rPr>
              <w:t>No Problem</w:t>
            </w:r>
            <w:r>
              <w:rPr>
                <w:rFonts w:ascii="Calibri" w:eastAsia="Times New Roman" w:hAnsi="Calibri" w:cs="Calibri"/>
                <w:color w:val="000000"/>
                <w:lang w:eastAsia="en-GB"/>
              </w:rPr>
              <w:t>)</w:t>
            </w:r>
          </w:p>
        </w:tc>
      </w:tr>
      <w:tr w:rsidR="00841F18" w:rsidRPr="000573A1" w14:paraId="30BB420C" w14:textId="77777777" w:rsidTr="009A0B42">
        <w:tc>
          <w:tcPr>
            <w:tcW w:w="283" w:type="dxa"/>
            <w:shd w:val="clear" w:color="auto" w:fill="auto"/>
          </w:tcPr>
          <w:p w14:paraId="2EB2B120" w14:textId="77777777" w:rsidR="00841F18" w:rsidRPr="000573A1" w:rsidRDefault="00841F18" w:rsidP="00C01DD0">
            <w:pPr>
              <w:ind w:left="-12"/>
              <w:rPr>
                <w:rFonts w:cstheme="minorHAnsi"/>
              </w:rPr>
            </w:pPr>
          </w:p>
        </w:tc>
        <w:tc>
          <w:tcPr>
            <w:tcW w:w="10065" w:type="dxa"/>
            <w:shd w:val="clear" w:color="auto" w:fill="auto"/>
          </w:tcPr>
          <w:p w14:paraId="1841D5FE" w14:textId="53678FCE" w:rsidR="00841F18" w:rsidRPr="00925D01" w:rsidRDefault="008E7FEE" w:rsidP="00C01DD0">
            <w:pPr>
              <w:ind w:left="-12"/>
            </w:pPr>
            <w:r>
              <w:t>Unmet need (including access to drinking water)</w:t>
            </w:r>
          </w:p>
        </w:tc>
      </w:tr>
      <w:tr w:rsidR="0050775F" w:rsidRPr="00570122" w14:paraId="00DE6401" w14:textId="77777777" w:rsidTr="00B406F8">
        <w:tc>
          <w:tcPr>
            <w:tcW w:w="283" w:type="dxa"/>
            <w:shd w:val="clear" w:color="auto" w:fill="FBE4D5" w:themeFill="accent2" w:themeFillTint="33"/>
          </w:tcPr>
          <w:p w14:paraId="0570CEC6" w14:textId="77777777" w:rsidR="0050775F" w:rsidRPr="00570122" w:rsidRDefault="0050775F" w:rsidP="00B406F8">
            <w:pPr>
              <w:ind w:left="-12"/>
              <w:rPr>
                <w:rFonts w:cstheme="minorHAnsi"/>
                <w:b/>
                <w:bCs/>
              </w:rPr>
            </w:pPr>
          </w:p>
        </w:tc>
        <w:tc>
          <w:tcPr>
            <w:tcW w:w="10065" w:type="dxa"/>
            <w:shd w:val="clear" w:color="auto" w:fill="FBE4D5" w:themeFill="accent2" w:themeFillTint="33"/>
          </w:tcPr>
          <w:p w14:paraId="53B92572" w14:textId="77777777" w:rsidR="0050775F" w:rsidRPr="00570122" w:rsidRDefault="0050775F" w:rsidP="00B406F8">
            <w:pPr>
              <w:ind w:left="-12"/>
              <w:rPr>
                <w:rFonts w:cstheme="minorHAnsi"/>
                <w:b/>
                <w:bCs/>
              </w:rPr>
            </w:pPr>
            <w:r w:rsidRPr="00570122">
              <w:rPr>
                <w:rFonts w:cstheme="minorHAnsi"/>
                <w:b/>
                <w:bCs/>
              </w:rPr>
              <w:t>Access to Health services</w:t>
            </w:r>
          </w:p>
        </w:tc>
      </w:tr>
      <w:tr w:rsidR="0050775F" w:rsidRPr="00570122" w14:paraId="1C329AA0" w14:textId="77777777" w:rsidTr="00B406F8">
        <w:tc>
          <w:tcPr>
            <w:tcW w:w="283" w:type="dxa"/>
          </w:tcPr>
          <w:p w14:paraId="6EAF28D1" w14:textId="77777777" w:rsidR="0050775F" w:rsidRPr="00570122" w:rsidRDefault="0050775F" w:rsidP="00B406F8">
            <w:pPr>
              <w:ind w:left="-12"/>
              <w:rPr>
                <w:rFonts w:cstheme="minorHAnsi"/>
              </w:rPr>
            </w:pPr>
          </w:p>
        </w:tc>
        <w:tc>
          <w:tcPr>
            <w:tcW w:w="10065" w:type="dxa"/>
          </w:tcPr>
          <w:p w14:paraId="50BDCB71" w14:textId="43E91270" w:rsidR="0050775F" w:rsidRPr="009F33C7" w:rsidRDefault="00522902" w:rsidP="00522902">
            <w:pPr>
              <w:rPr>
                <w:rFonts w:eastAsia="Times New Roman" w:cstheme="minorHAnsi"/>
                <w:lang w:eastAsia="en-GB"/>
              </w:rPr>
            </w:pPr>
            <w:r>
              <w:rPr>
                <w:rFonts w:ascii="Calibri" w:eastAsia="Times New Roman" w:hAnsi="Calibri" w:cs="Calibri"/>
                <w:color w:val="000000"/>
                <w:lang w:eastAsia="en-GB"/>
              </w:rPr>
              <w:t>Is there a Health Clinic (</w:t>
            </w:r>
            <w:r w:rsidRPr="00522902">
              <w:rPr>
                <w:rFonts w:ascii="Calibri" w:eastAsia="Times New Roman" w:hAnsi="Calibri" w:cs="Calibri"/>
                <w:color w:val="000000"/>
                <w:lang w:eastAsia="en-GB"/>
              </w:rPr>
              <w:t>No,</w:t>
            </w:r>
            <w:r>
              <w:rPr>
                <w:rFonts w:ascii="Calibri" w:eastAsia="Times New Roman" w:hAnsi="Calibri" w:cs="Calibri"/>
                <w:color w:val="000000"/>
                <w:lang w:eastAsia="en-GB"/>
              </w:rPr>
              <w:t xml:space="preserve"> </w:t>
            </w:r>
            <w:r w:rsidRPr="00522902">
              <w:rPr>
                <w:rFonts w:ascii="Calibri" w:eastAsia="Times New Roman" w:hAnsi="Calibri" w:cs="Calibri"/>
                <w:color w:val="000000"/>
                <w:lang w:eastAsia="en-GB"/>
              </w:rPr>
              <w:t xml:space="preserve">access is </w:t>
            </w:r>
            <w:proofErr w:type="gramStart"/>
            <w:r w:rsidRPr="00522902">
              <w:rPr>
                <w:rFonts w:ascii="Calibri" w:eastAsia="Times New Roman" w:hAnsi="Calibri" w:cs="Calibri"/>
                <w:color w:val="000000"/>
                <w:lang w:eastAsia="en-GB"/>
              </w:rPr>
              <w:t xml:space="preserve">impossible </w:t>
            </w:r>
            <w:r>
              <w:rPr>
                <w:rFonts w:ascii="Calibri" w:eastAsia="Times New Roman" w:hAnsi="Calibri" w:cs="Calibri"/>
                <w:color w:val="000000"/>
                <w:lang w:eastAsia="en-GB"/>
              </w:rPr>
              <w:t>;</w:t>
            </w:r>
            <w:proofErr w:type="gramEnd"/>
            <w:r>
              <w:rPr>
                <w:rFonts w:ascii="Calibri" w:eastAsia="Times New Roman" w:hAnsi="Calibri" w:cs="Calibri"/>
                <w:color w:val="000000"/>
                <w:lang w:eastAsia="en-GB"/>
              </w:rPr>
              <w:t xml:space="preserve"> </w:t>
            </w:r>
            <w:r w:rsidRPr="00522902">
              <w:rPr>
                <w:rFonts w:ascii="Calibri" w:eastAsia="Times New Roman" w:hAnsi="Calibri" w:cs="Calibri"/>
                <w:color w:val="000000"/>
                <w:lang w:eastAsia="en-GB"/>
              </w:rPr>
              <w:t>No, but access is still possible</w:t>
            </w:r>
            <w:r>
              <w:rPr>
                <w:rFonts w:ascii="Calibri" w:eastAsia="Times New Roman" w:hAnsi="Calibri" w:cs="Calibri"/>
                <w:color w:val="000000"/>
                <w:lang w:eastAsia="en-GB"/>
              </w:rPr>
              <w:t xml:space="preserve">; </w:t>
            </w:r>
            <w:r w:rsidRPr="00522902">
              <w:rPr>
                <w:rFonts w:ascii="Calibri" w:eastAsia="Times New Roman" w:hAnsi="Calibri" w:cs="Calibri"/>
                <w:color w:val="000000"/>
                <w:lang w:eastAsia="en-GB"/>
              </w:rPr>
              <w:t>Yes</w:t>
            </w:r>
            <w:r w:rsidR="006151C7">
              <w:rPr>
                <w:rFonts w:ascii="Calibri" w:eastAsia="Times New Roman" w:hAnsi="Calibri" w:cs="Calibri"/>
                <w:color w:val="000000"/>
                <w:lang w:eastAsia="en-GB"/>
              </w:rPr>
              <w:t>)</w:t>
            </w:r>
          </w:p>
        </w:tc>
      </w:tr>
      <w:tr w:rsidR="00522902" w:rsidRPr="00570122" w14:paraId="3D2081D6" w14:textId="77777777" w:rsidTr="00B406F8">
        <w:tc>
          <w:tcPr>
            <w:tcW w:w="283" w:type="dxa"/>
          </w:tcPr>
          <w:p w14:paraId="188ACC84" w14:textId="77777777" w:rsidR="00522902" w:rsidRPr="00570122" w:rsidRDefault="00522902" w:rsidP="00B406F8">
            <w:pPr>
              <w:ind w:left="-12"/>
              <w:rPr>
                <w:rFonts w:cstheme="minorHAnsi"/>
              </w:rPr>
            </w:pPr>
          </w:p>
        </w:tc>
        <w:tc>
          <w:tcPr>
            <w:tcW w:w="10065" w:type="dxa"/>
          </w:tcPr>
          <w:p w14:paraId="1FD4ADE9" w14:textId="38907208" w:rsidR="00522902" w:rsidRPr="009F33C7" w:rsidRDefault="006151C7" w:rsidP="00B406F8">
            <w:pPr>
              <w:ind w:left="-12"/>
              <w:rPr>
                <w:rFonts w:eastAsia="Times New Roman" w:cstheme="minorHAnsi"/>
                <w:lang w:eastAsia="en-GB"/>
              </w:rPr>
            </w:pPr>
            <w:r>
              <w:rPr>
                <w:rFonts w:ascii="Calibri" w:eastAsia="Times New Roman" w:hAnsi="Calibri" w:cs="Calibri"/>
                <w:color w:val="000000"/>
                <w:lang w:eastAsia="en-GB"/>
              </w:rPr>
              <w:t>Is there a Hospital (</w:t>
            </w:r>
            <w:r w:rsidRPr="00522902">
              <w:rPr>
                <w:rFonts w:ascii="Calibri" w:eastAsia="Times New Roman" w:hAnsi="Calibri" w:cs="Calibri"/>
                <w:color w:val="000000"/>
                <w:lang w:eastAsia="en-GB"/>
              </w:rPr>
              <w:t>No,</w:t>
            </w:r>
            <w:r>
              <w:rPr>
                <w:rFonts w:ascii="Calibri" w:eastAsia="Times New Roman" w:hAnsi="Calibri" w:cs="Calibri"/>
                <w:color w:val="000000"/>
                <w:lang w:eastAsia="en-GB"/>
              </w:rPr>
              <w:t xml:space="preserve"> </w:t>
            </w:r>
            <w:r w:rsidRPr="00522902">
              <w:rPr>
                <w:rFonts w:ascii="Calibri" w:eastAsia="Times New Roman" w:hAnsi="Calibri" w:cs="Calibri"/>
                <w:color w:val="000000"/>
                <w:lang w:eastAsia="en-GB"/>
              </w:rPr>
              <w:t xml:space="preserve">access is </w:t>
            </w:r>
            <w:proofErr w:type="gramStart"/>
            <w:r w:rsidRPr="00522902">
              <w:rPr>
                <w:rFonts w:ascii="Calibri" w:eastAsia="Times New Roman" w:hAnsi="Calibri" w:cs="Calibri"/>
                <w:color w:val="000000"/>
                <w:lang w:eastAsia="en-GB"/>
              </w:rPr>
              <w:t xml:space="preserve">impossible </w:t>
            </w:r>
            <w:r>
              <w:rPr>
                <w:rFonts w:ascii="Calibri" w:eastAsia="Times New Roman" w:hAnsi="Calibri" w:cs="Calibri"/>
                <w:color w:val="000000"/>
                <w:lang w:eastAsia="en-GB"/>
              </w:rPr>
              <w:t>;</w:t>
            </w:r>
            <w:proofErr w:type="gramEnd"/>
            <w:r>
              <w:rPr>
                <w:rFonts w:ascii="Calibri" w:eastAsia="Times New Roman" w:hAnsi="Calibri" w:cs="Calibri"/>
                <w:color w:val="000000"/>
                <w:lang w:eastAsia="en-GB"/>
              </w:rPr>
              <w:t xml:space="preserve"> </w:t>
            </w:r>
            <w:r w:rsidRPr="00522902">
              <w:rPr>
                <w:rFonts w:ascii="Calibri" w:eastAsia="Times New Roman" w:hAnsi="Calibri" w:cs="Calibri"/>
                <w:color w:val="000000"/>
                <w:lang w:eastAsia="en-GB"/>
              </w:rPr>
              <w:t>No, but access is still possible</w:t>
            </w:r>
            <w:r>
              <w:rPr>
                <w:rFonts w:ascii="Calibri" w:eastAsia="Times New Roman" w:hAnsi="Calibri" w:cs="Calibri"/>
                <w:color w:val="000000"/>
                <w:lang w:eastAsia="en-GB"/>
              </w:rPr>
              <w:t xml:space="preserve">; </w:t>
            </w:r>
            <w:r w:rsidRPr="00522902">
              <w:rPr>
                <w:rFonts w:ascii="Calibri" w:eastAsia="Times New Roman" w:hAnsi="Calibri" w:cs="Calibri"/>
                <w:color w:val="000000"/>
                <w:lang w:eastAsia="en-GB"/>
              </w:rPr>
              <w:t>Yes</w:t>
            </w:r>
            <w:r>
              <w:rPr>
                <w:rFonts w:ascii="Calibri" w:eastAsia="Times New Roman" w:hAnsi="Calibri" w:cs="Calibri"/>
                <w:color w:val="000000"/>
                <w:lang w:eastAsia="en-GB"/>
              </w:rPr>
              <w:t>_</w:t>
            </w:r>
          </w:p>
        </w:tc>
      </w:tr>
      <w:tr w:rsidR="00522902" w:rsidRPr="00570122" w14:paraId="36929B97" w14:textId="77777777" w:rsidTr="00B406F8">
        <w:tc>
          <w:tcPr>
            <w:tcW w:w="283" w:type="dxa"/>
          </w:tcPr>
          <w:p w14:paraId="42509976" w14:textId="77777777" w:rsidR="00522902" w:rsidRPr="00570122" w:rsidRDefault="00522902" w:rsidP="00B406F8">
            <w:pPr>
              <w:ind w:left="-12"/>
              <w:rPr>
                <w:rFonts w:cstheme="minorHAnsi"/>
              </w:rPr>
            </w:pPr>
          </w:p>
        </w:tc>
        <w:tc>
          <w:tcPr>
            <w:tcW w:w="10065" w:type="dxa"/>
          </w:tcPr>
          <w:p w14:paraId="291C1D09" w14:textId="626B28B4" w:rsidR="00522902" w:rsidRPr="009F33C7" w:rsidRDefault="008E7FEE" w:rsidP="00B406F8">
            <w:pPr>
              <w:ind w:left="-12"/>
              <w:rPr>
                <w:rFonts w:eastAsia="Times New Roman" w:cstheme="minorHAnsi"/>
                <w:lang w:eastAsia="en-GB"/>
              </w:rPr>
            </w:pPr>
            <w:r>
              <w:t>Unmet need (including healthcare)</w:t>
            </w:r>
          </w:p>
        </w:tc>
      </w:tr>
      <w:tr w:rsidR="00623F71" w:rsidRPr="00570122" w14:paraId="38932C0A" w14:textId="77777777" w:rsidTr="00053BD1">
        <w:tc>
          <w:tcPr>
            <w:tcW w:w="283" w:type="dxa"/>
            <w:shd w:val="clear" w:color="auto" w:fill="FBE4D5" w:themeFill="accent2" w:themeFillTint="33"/>
          </w:tcPr>
          <w:p w14:paraId="44DE7739" w14:textId="77777777" w:rsidR="00623F71" w:rsidRPr="00570122" w:rsidRDefault="00623F71" w:rsidP="00623F71">
            <w:pPr>
              <w:ind w:left="-12"/>
              <w:rPr>
                <w:rFonts w:cstheme="minorHAnsi"/>
                <w:b/>
                <w:bCs/>
              </w:rPr>
            </w:pPr>
          </w:p>
        </w:tc>
        <w:tc>
          <w:tcPr>
            <w:tcW w:w="10065" w:type="dxa"/>
            <w:shd w:val="clear" w:color="auto" w:fill="FBE4D5" w:themeFill="accent2" w:themeFillTint="33"/>
          </w:tcPr>
          <w:p w14:paraId="2590A192" w14:textId="63B6E289" w:rsidR="00623F71" w:rsidRPr="00570122" w:rsidRDefault="00053BD1" w:rsidP="00623F71">
            <w:pPr>
              <w:ind w:left="-12"/>
              <w:rPr>
                <w:rFonts w:cstheme="minorHAnsi"/>
                <w:b/>
                <w:bCs/>
              </w:rPr>
            </w:pPr>
            <w:r>
              <w:rPr>
                <w:rFonts w:cstheme="minorHAnsi"/>
                <w:b/>
                <w:bCs/>
              </w:rPr>
              <w:t>Shelter types</w:t>
            </w:r>
          </w:p>
        </w:tc>
      </w:tr>
      <w:tr w:rsidR="00623F71" w:rsidRPr="00570122" w14:paraId="493B4D2C" w14:textId="77777777" w:rsidTr="009A0B42">
        <w:tc>
          <w:tcPr>
            <w:tcW w:w="283" w:type="dxa"/>
            <w:shd w:val="clear" w:color="auto" w:fill="auto"/>
          </w:tcPr>
          <w:p w14:paraId="060E9AF6" w14:textId="77777777" w:rsidR="00623F71" w:rsidRPr="00570122" w:rsidRDefault="00623F71" w:rsidP="00623F71">
            <w:pPr>
              <w:ind w:left="-12"/>
              <w:rPr>
                <w:rFonts w:cstheme="minorHAnsi"/>
                <w:b/>
                <w:bCs/>
              </w:rPr>
            </w:pPr>
          </w:p>
        </w:tc>
        <w:tc>
          <w:tcPr>
            <w:tcW w:w="10065" w:type="dxa"/>
            <w:shd w:val="clear" w:color="auto" w:fill="auto"/>
          </w:tcPr>
          <w:p w14:paraId="795B93A0" w14:textId="26916362" w:rsidR="00623F71" w:rsidRPr="00053BD1" w:rsidRDefault="00053BD1" w:rsidP="00623F71">
            <w:pPr>
              <w:ind w:left="-12"/>
              <w:rPr>
                <w:rFonts w:cstheme="minorHAnsi"/>
              </w:rPr>
            </w:pPr>
            <w:r w:rsidRPr="00053BD1">
              <w:rPr>
                <w:rFonts w:cstheme="minorHAnsi"/>
              </w:rPr>
              <w:t xml:space="preserve">Type of site (Religious Building, Unfinished Building, School Building, Informal Settlement, Host Families, Rental accommodation (Good conditions), Rental </w:t>
            </w:r>
            <w:r w:rsidR="00CB038B" w:rsidRPr="00053BD1">
              <w:rPr>
                <w:rFonts w:cstheme="minorHAnsi"/>
              </w:rPr>
              <w:t>accommodation</w:t>
            </w:r>
            <w:r w:rsidRPr="00053BD1">
              <w:rPr>
                <w:rFonts w:cstheme="minorHAnsi"/>
              </w:rPr>
              <w:t xml:space="preserve"> (Destroyed </w:t>
            </w:r>
            <w:proofErr w:type="gramStart"/>
            <w:r w:rsidRPr="00053BD1">
              <w:rPr>
                <w:rFonts w:cstheme="minorHAnsi"/>
              </w:rPr>
              <w:t>Or</w:t>
            </w:r>
            <w:proofErr w:type="gramEnd"/>
            <w:r w:rsidRPr="00053BD1">
              <w:rPr>
                <w:rFonts w:cstheme="minorHAnsi"/>
              </w:rPr>
              <w:t xml:space="preserve"> Damaged), Own Property, Hotel)</w:t>
            </w:r>
          </w:p>
        </w:tc>
      </w:tr>
      <w:tr w:rsidR="00245C1C" w:rsidRPr="00570122" w14:paraId="4E5CE663" w14:textId="77777777" w:rsidTr="009A0B42">
        <w:tc>
          <w:tcPr>
            <w:tcW w:w="283" w:type="dxa"/>
            <w:shd w:val="clear" w:color="auto" w:fill="auto"/>
          </w:tcPr>
          <w:p w14:paraId="4427CC3D" w14:textId="77777777" w:rsidR="00245C1C" w:rsidRPr="00570122" w:rsidRDefault="00245C1C" w:rsidP="00623F71">
            <w:pPr>
              <w:ind w:left="-12"/>
              <w:rPr>
                <w:rFonts w:cstheme="minorHAnsi"/>
                <w:b/>
                <w:bCs/>
              </w:rPr>
            </w:pPr>
          </w:p>
        </w:tc>
        <w:tc>
          <w:tcPr>
            <w:tcW w:w="10065" w:type="dxa"/>
            <w:shd w:val="clear" w:color="auto" w:fill="auto"/>
          </w:tcPr>
          <w:p w14:paraId="45D3186D" w14:textId="4F86955C" w:rsidR="00245C1C" w:rsidRPr="00053BD1" w:rsidRDefault="001A2A6A" w:rsidP="00623F71">
            <w:pPr>
              <w:ind w:left="-12"/>
              <w:rPr>
                <w:rFonts w:cstheme="minorHAnsi"/>
              </w:rPr>
            </w:pPr>
            <w:r>
              <w:rPr>
                <w:rFonts w:cstheme="minorHAnsi"/>
              </w:rPr>
              <w:t>% of houses that are damaged (</w:t>
            </w:r>
            <w:r w:rsidRPr="00171395">
              <w:rPr>
                <w:rFonts w:cstheme="minorHAnsi"/>
              </w:rPr>
              <w:t>All or nearly all 75-100%</w:t>
            </w:r>
            <w:r>
              <w:rPr>
                <w:rFonts w:cstheme="minorHAnsi"/>
              </w:rPr>
              <w:t xml:space="preserve">; </w:t>
            </w:r>
            <w:r w:rsidRPr="00171395">
              <w:rPr>
                <w:rFonts w:cstheme="minorHAnsi"/>
              </w:rPr>
              <w:t>Most the house</w:t>
            </w:r>
            <w:r>
              <w:rPr>
                <w:rFonts w:cstheme="minorHAnsi"/>
              </w:rPr>
              <w:t xml:space="preserve">s </w:t>
            </w:r>
            <w:r w:rsidRPr="00171395">
              <w:rPr>
                <w:rFonts w:cstheme="minorHAnsi"/>
              </w:rPr>
              <w:t>(50-74%); Less than half (25-49%)</w:t>
            </w:r>
            <w:r>
              <w:rPr>
                <w:rFonts w:cstheme="minorHAnsi"/>
              </w:rPr>
              <w:t>;</w:t>
            </w:r>
            <w:r w:rsidRPr="00171395">
              <w:rPr>
                <w:rFonts w:cstheme="minorHAnsi"/>
              </w:rPr>
              <w:t xml:space="preserve"> Less than a quarter (1-24%), None (0%)</w:t>
            </w:r>
          </w:p>
        </w:tc>
      </w:tr>
      <w:tr w:rsidR="00245C1C" w:rsidRPr="00570122" w14:paraId="096B0848" w14:textId="77777777" w:rsidTr="00FD6232">
        <w:tc>
          <w:tcPr>
            <w:tcW w:w="283" w:type="dxa"/>
            <w:shd w:val="clear" w:color="auto" w:fill="FBE4D5" w:themeFill="accent2" w:themeFillTint="33"/>
          </w:tcPr>
          <w:p w14:paraId="4A9D2090" w14:textId="77777777" w:rsidR="00245C1C" w:rsidRPr="00570122" w:rsidRDefault="00245C1C" w:rsidP="00623F71">
            <w:pPr>
              <w:ind w:left="-12"/>
              <w:rPr>
                <w:rFonts w:cstheme="minorHAnsi"/>
                <w:b/>
                <w:bCs/>
              </w:rPr>
            </w:pPr>
          </w:p>
        </w:tc>
        <w:tc>
          <w:tcPr>
            <w:tcW w:w="10065" w:type="dxa"/>
            <w:shd w:val="clear" w:color="auto" w:fill="FBE4D5" w:themeFill="accent2" w:themeFillTint="33"/>
          </w:tcPr>
          <w:p w14:paraId="08F7119A" w14:textId="35449018" w:rsidR="00245C1C" w:rsidRPr="00807B0D" w:rsidRDefault="00FD6232" w:rsidP="00623F71">
            <w:pPr>
              <w:ind w:left="-12"/>
              <w:rPr>
                <w:rFonts w:cstheme="minorHAnsi"/>
                <w:b/>
                <w:bCs/>
              </w:rPr>
            </w:pPr>
            <w:r>
              <w:rPr>
                <w:rFonts w:cstheme="minorHAnsi"/>
                <w:b/>
                <w:bCs/>
              </w:rPr>
              <w:t>Information Means</w:t>
            </w:r>
          </w:p>
        </w:tc>
      </w:tr>
      <w:tr w:rsidR="00245C1C" w:rsidRPr="00570122" w14:paraId="2022CF33" w14:textId="77777777" w:rsidTr="009A0B42">
        <w:tc>
          <w:tcPr>
            <w:tcW w:w="283" w:type="dxa"/>
            <w:shd w:val="clear" w:color="auto" w:fill="auto"/>
          </w:tcPr>
          <w:p w14:paraId="033B6772" w14:textId="77777777" w:rsidR="00245C1C" w:rsidRPr="00570122" w:rsidRDefault="00245C1C" w:rsidP="00623F71">
            <w:pPr>
              <w:ind w:left="-12"/>
              <w:rPr>
                <w:rFonts w:cstheme="minorHAnsi"/>
                <w:b/>
                <w:bCs/>
              </w:rPr>
            </w:pPr>
          </w:p>
        </w:tc>
        <w:tc>
          <w:tcPr>
            <w:tcW w:w="10065" w:type="dxa"/>
            <w:shd w:val="clear" w:color="auto" w:fill="auto"/>
          </w:tcPr>
          <w:p w14:paraId="18FC3FA8" w14:textId="2258B3E0" w:rsidR="00245C1C" w:rsidRPr="00053BD1" w:rsidRDefault="000B47BD" w:rsidP="000B47BD">
            <w:pPr>
              <w:ind w:left="-12"/>
              <w:rPr>
                <w:rFonts w:cstheme="minorHAnsi"/>
              </w:rPr>
            </w:pPr>
            <w:r>
              <w:rPr>
                <w:rFonts w:cstheme="minorHAnsi"/>
              </w:rPr>
              <w:t>Main information source</w:t>
            </w:r>
            <w:r w:rsidR="00FD6232">
              <w:rPr>
                <w:rFonts w:cstheme="minorHAnsi"/>
              </w:rPr>
              <w:t>s</w:t>
            </w:r>
            <w:r>
              <w:rPr>
                <w:rFonts w:cstheme="minorHAnsi"/>
              </w:rPr>
              <w:t xml:space="preserve"> (</w:t>
            </w:r>
            <w:r w:rsidRPr="000B47BD">
              <w:rPr>
                <w:rFonts w:cstheme="minorHAnsi"/>
              </w:rPr>
              <w:t>Community leaders, Internet (news websites), Local authorities, Mobile phones (SMS, or messaging apps), Newspapers, Print material (banners/posters/pamphlets), Radio, Social Media, Television, Word of mouth</w:t>
            </w:r>
            <w:r>
              <w:rPr>
                <w:rFonts w:cstheme="minorHAnsi"/>
              </w:rPr>
              <w:t>)</w:t>
            </w:r>
          </w:p>
        </w:tc>
      </w:tr>
    </w:tbl>
    <w:p w14:paraId="47A76B99" w14:textId="77777777" w:rsidR="00DE3916" w:rsidRPr="00DE3916" w:rsidRDefault="00DE3916" w:rsidP="00DE3916"/>
    <w:tbl>
      <w:tblPr>
        <w:tblStyle w:val="TableGrid"/>
        <w:tblW w:w="10348" w:type="dxa"/>
        <w:tblInd w:w="-147" w:type="dxa"/>
        <w:tblLook w:val="04A0" w:firstRow="1" w:lastRow="0" w:firstColumn="1" w:lastColumn="0" w:noHBand="0" w:noVBand="1"/>
      </w:tblPr>
      <w:tblGrid>
        <w:gridCol w:w="283"/>
        <w:gridCol w:w="10065"/>
      </w:tblGrid>
      <w:tr w:rsidR="00C122F6" w:rsidRPr="00570122" w14:paraId="18FE1038" w14:textId="77777777" w:rsidTr="00AD4B74">
        <w:tc>
          <w:tcPr>
            <w:tcW w:w="10348" w:type="dxa"/>
            <w:gridSpan w:val="2"/>
            <w:shd w:val="clear" w:color="auto" w:fill="B4C6E7" w:themeFill="accent1" w:themeFillTint="66"/>
          </w:tcPr>
          <w:p w14:paraId="32238DA7" w14:textId="6C3393A2" w:rsidR="00C122F6" w:rsidRPr="00570122" w:rsidRDefault="007544CC" w:rsidP="00AD4B74">
            <w:pPr>
              <w:ind w:left="-12"/>
              <w:jc w:val="center"/>
              <w:rPr>
                <w:rFonts w:cstheme="minorHAnsi"/>
                <w:b/>
                <w:bCs/>
                <w:sz w:val="26"/>
                <w:szCs w:val="26"/>
              </w:rPr>
            </w:pPr>
            <w:r>
              <w:rPr>
                <w:rFonts w:cstheme="minorHAnsi"/>
                <w:b/>
                <w:bCs/>
                <w:sz w:val="26"/>
                <w:szCs w:val="26"/>
              </w:rPr>
              <w:t>Returnee Master Lists</w:t>
            </w:r>
            <w:r w:rsidR="00C122F6" w:rsidRPr="00570122">
              <w:rPr>
                <w:rFonts w:cstheme="minorHAnsi"/>
                <w:b/>
                <w:bCs/>
                <w:sz w:val="26"/>
                <w:szCs w:val="26"/>
              </w:rPr>
              <w:t xml:space="preserve"> </w:t>
            </w:r>
            <w:r w:rsidR="00C122F6" w:rsidRPr="00570122">
              <w:rPr>
                <w:rFonts w:cstheme="minorHAnsi"/>
                <w:sz w:val="26"/>
                <w:szCs w:val="26"/>
              </w:rPr>
              <w:t>(</w:t>
            </w:r>
            <w:hyperlink r:id="rId15" w:history="1">
              <w:r>
                <w:rPr>
                  <w:rStyle w:val="Hyperlink"/>
                </w:rPr>
                <w:t>https://displacement.iom.int/datasets/iraq-%E2%80%94-returnee-master-lists-%E2%80%94-round-114</w:t>
              </w:r>
            </w:hyperlink>
            <w:r>
              <w:t>)</w:t>
            </w:r>
          </w:p>
        </w:tc>
      </w:tr>
      <w:tr w:rsidR="00A60C87" w:rsidRPr="00570122" w14:paraId="19994865" w14:textId="77777777" w:rsidTr="00AD4B74">
        <w:tc>
          <w:tcPr>
            <w:tcW w:w="283" w:type="dxa"/>
            <w:shd w:val="clear" w:color="auto" w:fill="FBE4D5" w:themeFill="accent2" w:themeFillTint="33"/>
          </w:tcPr>
          <w:p w14:paraId="02251867" w14:textId="77777777" w:rsidR="00A60C87" w:rsidRPr="00570122" w:rsidRDefault="00A60C87" w:rsidP="00AD4B74">
            <w:pPr>
              <w:ind w:left="-12"/>
              <w:rPr>
                <w:rFonts w:cstheme="minorHAnsi"/>
                <w:b/>
                <w:bCs/>
              </w:rPr>
            </w:pPr>
          </w:p>
        </w:tc>
        <w:tc>
          <w:tcPr>
            <w:tcW w:w="10065" w:type="dxa"/>
            <w:shd w:val="clear" w:color="auto" w:fill="FBE4D5" w:themeFill="accent2" w:themeFillTint="33"/>
          </w:tcPr>
          <w:p w14:paraId="6425CF94" w14:textId="3D35017F" w:rsidR="00A60C87" w:rsidRPr="00570122" w:rsidRDefault="00A60C87" w:rsidP="00AD4B74">
            <w:pPr>
              <w:ind w:left="-12"/>
              <w:rPr>
                <w:rFonts w:cstheme="minorHAnsi"/>
                <w:b/>
                <w:bCs/>
              </w:rPr>
            </w:pPr>
            <w:r w:rsidRPr="00570122">
              <w:rPr>
                <w:rFonts w:cstheme="minorHAnsi"/>
                <w:b/>
                <w:bCs/>
              </w:rPr>
              <w:t xml:space="preserve">General and Geographical information </w:t>
            </w:r>
          </w:p>
        </w:tc>
      </w:tr>
      <w:tr w:rsidR="00A60C87" w:rsidRPr="00570122" w14:paraId="41F276A7" w14:textId="77777777" w:rsidTr="00AD4B74">
        <w:tc>
          <w:tcPr>
            <w:tcW w:w="283" w:type="dxa"/>
          </w:tcPr>
          <w:p w14:paraId="614E3458" w14:textId="77777777" w:rsidR="00A60C87" w:rsidRPr="00570122" w:rsidRDefault="00A60C87" w:rsidP="00AD4B74">
            <w:pPr>
              <w:ind w:left="-12"/>
              <w:rPr>
                <w:rFonts w:cstheme="minorHAnsi"/>
              </w:rPr>
            </w:pPr>
          </w:p>
        </w:tc>
        <w:tc>
          <w:tcPr>
            <w:tcW w:w="10065" w:type="dxa"/>
          </w:tcPr>
          <w:p w14:paraId="103AFC6C" w14:textId="48596DB9" w:rsidR="00A60C87" w:rsidRPr="00570122" w:rsidRDefault="00C122F6" w:rsidP="00110309">
            <w:pPr>
              <w:ind w:left="-12"/>
              <w:rPr>
                <w:rFonts w:cstheme="minorHAnsi"/>
              </w:rPr>
            </w:pPr>
            <w:r w:rsidRPr="00570122">
              <w:rPr>
                <w:rFonts w:cstheme="minorHAnsi"/>
              </w:rPr>
              <w:t>Name</w:t>
            </w:r>
            <w:r w:rsidR="006651AA">
              <w:rPr>
                <w:rFonts w:cstheme="minorHAnsi"/>
              </w:rPr>
              <w:t>, Place ID</w:t>
            </w:r>
            <w:r w:rsidRPr="00570122">
              <w:rPr>
                <w:rFonts w:cstheme="minorHAnsi"/>
              </w:rPr>
              <w:t xml:space="preserve"> </w:t>
            </w:r>
            <w:r w:rsidR="006651AA">
              <w:rPr>
                <w:rFonts w:cstheme="minorHAnsi"/>
              </w:rPr>
              <w:t xml:space="preserve">of all </w:t>
            </w:r>
            <w:r w:rsidR="00110309">
              <w:rPr>
                <w:rFonts w:cstheme="minorHAnsi"/>
              </w:rPr>
              <w:t>Returnees</w:t>
            </w:r>
            <w:r w:rsidR="006651AA">
              <w:rPr>
                <w:rFonts w:cstheme="minorHAnsi"/>
              </w:rPr>
              <w:t xml:space="preserve"> of all districts (HHs returned from camp</w:t>
            </w:r>
            <w:r w:rsidR="00110309">
              <w:rPr>
                <w:rFonts w:cstheme="minorHAnsi"/>
              </w:rPr>
              <w:t>)</w:t>
            </w:r>
          </w:p>
        </w:tc>
      </w:tr>
      <w:tr w:rsidR="00223C02" w:rsidRPr="00570122" w14:paraId="5C4071FF" w14:textId="77777777" w:rsidTr="00AD4B74">
        <w:tc>
          <w:tcPr>
            <w:tcW w:w="283" w:type="dxa"/>
          </w:tcPr>
          <w:p w14:paraId="65C0F1EF" w14:textId="77777777" w:rsidR="00223C02" w:rsidRPr="00570122" w:rsidRDefault="00223C02" w:rsidP="00AD4B74">
            <w:pPr>
              <w:ind w:left="-12"/>
              <w:rPr>
                <w:rFonts w:cstheme="minorHAnsi"/>
              </w:rPr>
            </w:pPr>
          </w:p>
        </w:tc>
        <w:tc>
          <w:tcPr>
            <w:tcW w:w="10065" w:type="dxa"/>
          </w:tcPr>
          <w:p w14:paraId="360E4381" w14:textId="6D4E8C41" w:rsidR="00223C02" w:rsidRPr="00570122" w:rsidRDefault="00535F98" w:rsidP="00110309">
            <w:pPr>
              <w:ind w:left="-12"/>
              <w:rPr>
                <w:rFonts w:cstheme="minorHAnsi"/>
              </w:rPr>
            </w:pPr>
            <w:r w:rsidRPr="00570122">
              <w:rPr>
                <w:rFonts w:cstheme="minorHAnsi"/>
              </w:rPr>
              <w:t xml:space="preserve">Geographical coordinate of all </w:t>
            </w:r>
            <w:r w:rsidR="00110309">
              <w:rPr>
                <w:rFonts w:cstheme="minorHAnsi"/>
              </w:rPr>
              <w:t xml:space="preserve">Returnees </w:t>
            </w:r>
            <w:r w:rsidRPr="00570122">
              <w:rPr>
                <w:rFonts w:cstheme="minorHAnsi"/>
              </w:rPr>
              <w:t>communities/ camps</w:t>
            </w:r>
            <w:r w:rsidR="00EF0DE3" w:rsidRPr="00570122">
              <w:rPr>
                <w:rFonts w:cstheme="minorHAnsi"/>
              </w:rPr>
              <w:t xml:space="preserve"> (GPS Long and Lat)</w:t>
            </w:r>
          </w:p>
        </w:tc>
      </w:tr>
      <w:tr w:rsidR="00FB640F" w:rsidRPr="00570122" w14:paraId="63B1585D" w14:textId="77777777" w:rsidTr="00AD4B74">
        <w:tc>
          <w:tcPr>
            <w:tcW w:w="283" w:type="dxa"/>
          </w:tcPr>
          <w:p w14:paraId="10EB1A51" w14:textId="77777777" w:rsidR="00FB640F" w:rsidRPr="00570122" w:rsidRDefault="00FB640F" w:rsidP="00AD4B74">
            <w:pPr>
              <w:ind w:left="-12"/>
              <w:rPr>
                <w:rFonts w:cstheme="minorHAnsi"/>
              </w:rPr>
            </w:pPr>
          </w:p>
        </w:tc>
        <w:tc>
          <w:tcPr>
            <w:tcW w:w="10065" w:type="dxa"/>
          </w:tcPr>
          <w:p w14:paraId="265D4874" w14:textId="244F4C90" w:rsidR="00FB640F" w:rsidRPr="00570122" w:rsidRDefault="00FB640F" w:rsidP="007544CC">
            <w:pPr>
              <w:ind w:left="-12"/>
              <w:rPr>
                <w:rFonts w:cstheme="minorHAnsi"/>
              </w:rPr>
            </w:pPr>
            <w:r w:rsidRPr="00570122">
              <w:rPr>
                <w:rFonts w:cstheme="minorHAnsi"/>
              </w:rPr>
              <w:t xml:space="preserve">Administrative levels: </w:t>
            </w:r>
            <w:r w:rsidR="007544CC">
              <w:rPr>
                <w:rFonts w:cstheme="minorHAnsi"/>
              </w:rPr>
              <w:t>Governorate, District, Location name in English</w:t>
            </w:r>
          </w:p>
        </w:tc>
      </w:tr>
      <w:tr w:rsidR="00CF57D3" w:rsidRPr="00570122" w14:paraId="2BA51B77" w14:textId="77777777" w:rsidTr="00AD4B74">
        <w:tc>
          <w:tcPr>
            <w:tcW w:w="283" w:type="dxa"/>
          </w:tcPr>
          <w:p w14:paraId="1DB1B366" w14:textId="77777777" w:rsidR="00CF57D3" w:rsidRPr="00570122" w:rsidRDefault="00CF57D3" w:rsidP="00AD4B74">
            <w:pPr>
              <w:ind w:left="-12"/>
              <w:rPr>
                <w:rFonts w:cstheme="minorHAnsi"/>
              </w:rPr>
            </w:pPr>
          </w:p>
        </w:tc>
        <w:tc>
          <w:tcPr>
            <w:tcW w:w="10065" w:type="dxa"/>
          </w:tcPr>
          <w:p w14:paraId="453C0BFF" w14:textId="743DA805" w:rsidR="00CF57D3" w:rsidRPr="00570122" w:rsidRDefault="00CF57D3" w:rsidP="007544CC">
            <w:pPr>
              <w:ind w:left="-12"/>
              <w:rPr>
                <w:rFonts w:cstheme="minorHAnsi"/>
              </w:rPr>
            </w:pPr>
            <w:r>
              <w:rPr>
                <w:rFonts w:cstheme="minorHAnsi"/>
              </w:rPr>
              <w:t>Link for Map (Open street map, Google map, Bing map)</w:t>
            </w:r>
          </w:p>
        </w:tc>
      </w:tr>
      <w:tr w:rsidR="00F30A95" w:rsidRPr="00570122" w14:paraId="05F9FBB5" w14:textId="77777777" w:rsidTr="00AD4B74">
        <w:tc>
          <w:tcPr>
            <w:tcW w:w="283" w:type="dxa"/>
            <w:shd w:val="clear" w:color="auto" w:fill="FBE4D5" w:themeFill="accent2" w:themeFillTint="33"/>
          </w:tcPr>
          <w:p w14:paraId="1D3925C7" w14:textId="77777777" w:rsidR="00F30A95" w:rsidRPr="00570122" w:rsidRDefault="00F30A95" w:rsidP="00AD4B74">
            <w:pPr>
              <w:ind w:left="-12"/>
              <w:rPr>
                <w:rFonts w:cstheme="minorHAnsi"/>
                <w:b/>
                <w:bCs/>
              </w:rPr>
            </w:pPr>
          </w:p>
        </w:tc>
        <w:tc>
          <w:tcPr>
            <w:tcW w:w="10065" w:type="dxa"/>
            <w:shd w:val="clear" w:color="auto" w:fill="FBE4D5" w:themeFill="accent2" w:themeFillTint="33"/>
          </w:tcPr>
          <w:p w14:paraId="346AF306" w14:textId="4E67B3E3" w:rsidR="00F30A95" w:rsidRPr="00570122" w:rsidRDefault="00A60C87" w:rsidP="00110309">
            <w:pPr>
              <w:ind w:left="-12"/>
              <w:rPr>
                <w:rFonts w:cstheme="minorHAnsi"/>
                <w:b/>
                <w:bCs/>
              </w:rPr>
            </w:pPr>
            <w:r w:rsidRPr="00570122">
              <w:rPr>
                <w:rFonts w:cstheme="minorHAnsi"/>
                <w:b/>
                <w:bCs/>
              </w:rPr>
              <w:t>Demographic estimates of population (</w:t>
            </w:r>
            <w:r w:rsidR="00110309">
              <w:rPr>
                <w:rFonts w:cstheme="minorHAnsi"/>
                <w:b/>
                <w:bCs/>
              </w:rPr>
              <w:t>Returnee</w:t>
            </w:r>
            <w:r w:rsidRPr="00570122">
              <w:rPr>
                <w:rFonts w:cstheme="minorHAnsi"/>
                <w:b/>
                <w:bCs/>
              </w:rPr>
              <w:t>s)</w:t>
            </w:r>
          </w:p>
        </w:tc>
      </w:tr>
      <w:tr w:rsidR="00F30A95" w:rsidRPr="00570122" w14:paraId="2B5DEF47" w14:textId="77777777" w:rsidTr="00AD4B74">
        <w:tc>
          <w:tcPr>
            <w:tcW w:w="283" w:type="dxa"/>
          </w:tcPr>
          <w:p w14:paraId="688DB7F8" w14:textId="77777777" w:rsidR="00F30A95" w:rsidRPr="00570122" w:rsidRDefault="00F30A95" w:rsidP="00AD4B74">
            <w:pPr>
              <w:ind w:left="-12"/>
              <w:rPr>
                <w:rFonts w:cstheme="minorHAnsi"/>
              </w:rPr>
            </w:pPr>
          </w:p>
        </w:tc>
        <w:tc>
          <w:tcPr>
            <w:tcW w:w="10065" w:type="dxa"/>
          </w:tcPr>
          <w:p w14:paraId="1FD78D8C" w14:textId="40C8CCF6" w:rsidR="00F30A95" w:rsidRPr="00570122" w:rsidRDefault="00A60C87" w:rsidP="00110309">
            <w:pPr>
              <w:ind w:left="-12"/>
              <w:rPr>
                <w:rFonts w:cstheme="minorHAnsi"/>
              </w:rPr>
            </w:pPr>
            <w:r w:rsidRPr="00570122">
              <w:rPr>
                <w:rFonts w:cstheme="minorHAnsi"/>
              </w:rPr>
              <w:t xml:space="preserve">Population Numbers for each </w:t>
            </w:r>
            <w:r w:rsidR="00110309">
              <w:rPr>
                <w:rFonts w:cstheme="minorHAnsi"/>
              </w:rPr>
              <w:t xml:space="preserve">Returnees </w:t>
            </w:r>
            <w:r w:rsidRPr="00570122">
              <w:rPr>
                <w:rFonts w:cstheme="minorHAnsi"/>
              </w:rPr>
              <w:t>communities/camps</w:t>
            </w:r>
          </w:p>
        </w:tc>
      </w:tr>
      <w:tr w:rsidR="00F30A95" w:rsidRPr="00570122" w14:paraId="599CC1FD" w14:textId="77777777" w:rsidTr="00AD4B74">
        <w:tc>
          <w:tcPr>
            <w:tcW w:w="283" w:type="dxa"/>
          </w:tcPr>
          <w:p w14:paraId="3A092BA0" w14:textId="77777777" w:rsidR="00F30A95" w:rsidRPr="00570122" w:rsidRDefault="00F30A95" w:rsidP="00AD4B74">
            <w:pPr>
              <w:ind w:left="-12"/>
              <w:rPr>
                <w:rFonts w:cstheme="minorHAnsi"/>
              </w:rPr>
            </w:pPr>
          </w:p>
        </w:tc>
        <w:tc>
          <w:tcPr>
            <w:tcW w:w="10065" w:type="dxa"/>
          </w:tcPr>
          <w:p w14:paraId="2B2442BD" w14:textId="77777777" w:rsidR="00570122" w:rsidRPr="00870996" w:rsidRDefault="00570122" w:rsidP="00AD4B74">
            <w:pPr>
              <w:ind w:left="-12"/>
              <w:rPr>
                <w:rFonts w:cstheme="minorHAnsi"/>
              </w:rPr>
            </w:pPr>
            <w:r w:rsidRPr="00BF76C2">
              <w:rPr>
                <w:rFonts w:cstheme="minorHAnsi"/>
              </w:rPr>
              <w:t>Total Individuals</w:t>
            </w:r>
          </w:p>
          <w:p w14:paraId="0CDB7178" w14:textId="02151B0F" w:rsidR="00F30A95" w:rsidRPr="00870996" w:rsidRDefault="00570122" w:rsidP="006651AA">
            <w:pPr>
              <w:ind w:left="-12"/>
              <w:rPr>
                <w:rFonts w:cstheme="minorHAnsi"/>
              </w:rPr>
            </w:pPr>
            <w:r w:rsidRPr="00BF76C2">
              <w:rPr>
                <w:rFonts w:cstheme="minorHAnsi"/>
              </w:rPr>
              <w:t>Total HHs</w:t>
            </w:r>
          </w:p>
        </w:tc>
      </w:tr>
      <w:tr w:rsidR="00C35FFE" w:rsidRPr="00570122" w14:paraId="34C9BD27" w14:textId="77777777" w:rsidTr="00AD4B74">
        <w:tc>
          <w:tcPr>
            <w:tcW w:w="283" w:type="dxa"/>
            <w:shd w:val="clear" w:color="auto" w:fill="FBE4D5" w:themeFill="accent2" w:themeFillTint="33"/>
          </w:tcPr>
          <w:p w14:paraId="767ECC2C" w14:textId="77777777" w:rsidR="00C35FFE" w:rsidRPr="00570122" w:rsidRDefault="00C35FFE" w:rsidP="00AD4B74">
            <w:pPr>
              <w:ind w:left="-12"/>
              <w:rPr>
                <w:rFonts w:cstheme="minorHAnsi"/>
                <w:b/>
                <w:bCs/>
              </w:rPr>
            </w:pPr>
          </w:p>
        </w:tc>
        <w:tc>
          <w:tcPr>
            <w:tcW w:w="10065" w:type="dxa"/>
            <w:shd w:val="clear" w:color="auto" w:fill="FBE4D5" w:themeFill="accent2" w:themeFillTint="33"/>
          </w:tcPr>
          <w:p w14:paraId="796BB9F4" w14:textId="0B4DC983" w:rsidR="00C35FFE" w:rsidRPr="00570122" w:rsidRDefault="00C35FFE" w:rsidP="00AD4B74">
            <w:pPr>
              <w:ind w:left="-12"/>
              <w:rPr>
                <w:rFonts w:cstheme="minorHAnsi"/>
                <w:b/>
                <w:bCs/>
              </w:rPr>
            </w:pPr>
            <w:r>
              <w:rPr>
                <w:rFonts w:cstheme="minorHAnsi"/>
                <w:b/>
                <w:bCs/>
              </w:rPr>
              <w:t>Shelter types/overcrowding</w:t>
            </w:r>
          </w:p>
        </w:tc>
      </w:tr>
      <w:tr w:rsidR="00C35FFE" w:rsidRPr="00570122" w14:paraId="6DC850E5" w14:textId="77777777" w:rsidTr="00AD4B74">
        <w:tc>
          <w:tcPr>
            <w:tcW w:w="283" w:type="dxa"/>
          </w:tcPr>
          <w:p w14:paraId="7B09A8B2" w14:textId="77777777" w:rsidR="00C35FFE" w:rsidRPr="00570122" w:rsidRDefault="00C35FFE" w:rsidP="00AD4B74">
            <w:pPr>
              <w:ind w:left="-12"/>
              <w:rPr>
                <w:rFonts w:cstheme="minorHAnsi"/>
              </w:rPr>
            </w:pPr>
          </w:p>
        </w:tc>
        <w:tc>
          <w:tcPr>
            <w:tcW w:w="10065" w:type="dxa"/>
          </w:tcPr>
          <w:p w14:paraId="3C99A7D4" w14:textId="5B230981" w:rsidR="00C35FFE" w:rsidRPr="00C35FFE" w:rsidRDefault="007544CC" w:rsidP="007544CC">
            <w:pPr>
              <w:ind w:left="-12"/>
              <w:rPr>
                <w:rFonts w:eastAsia="Times New Roman" w:cstheme="minorHAnsi"/>
                <w:lang w:eastAsia="en-GB"/>
              </w:rPr>
            </w:pPr>
            <w:r>
              <w:rPr>
                <w:rFonts w:eastAsia="Times New Roman" w:cstheme="minorHAnsi"/>
                <w:lang w:eastAsia="en-GB"/>
              </w:rPr>
              <w:t xml:space="preserve">% of HH living in </w:t>
            </w:r>
            <w:r w:rsidR="00C35FFE" w:rsidRPr="00774E0F">
              <w:rPr>
                <w:rFonts w:eastAsia="Times New Roman" w:cstheme="minorHAnsi"/>
                <w:lang w:eastAsia="en-GB"/>
              </w:rPr>
              <w:t>(</w:t>
            </w:r>
            <w:r>
              <w:rPr>
                <w:rFonts w:eastAsia="Times New Roman" w:cstheme="minorHAnsi"/>
                <w:lang w:eastAsia="en-GB"/>
              </w:rPr>
              <w:t>Habitual residence (Habitable, Uninhabitable)</w:t>
            </w:r>
          </w:p>
        </w:tc>
      </w:tr>
      <w:tr w:rsidR="00C35FFE" w:rsidRPr="00570122" w14:paraId="1717A618" w14:textId="77777777" w:rsidTr="00AD4B74">
        <w:tc>
          <w:tcPr>
            <w:tcW w:w="283" w:type="dxa"/>
          </w:tcPr>
          <w:p w14:paraId="2AE04B88" w14:textId="77777777" w:rsidR="00C35FFE" w:rsidRPr="00570122" w:rsidRDefault="00C35FFE" w:rsidP="00AD4B74">
            <w:pPr>
              <w:ind w:left="-12"/>
              <w:rPr>
                <w:rFonts w:cstheme="minorHAnsi"/>
              </w:rPr>
            </w:pPr>
          </w:p>
        </w:tc>
        <w:tc>
          <w:tcPr>
            <w:tcW w:w="10065" w:type="dxa"/>
          </w:tcPr>
          <w:p w14:paraId="79BE5D8B" w14:textId="5773F9AA" w:rsidR="00C35FFE" w:rsidRPr="00C35FFE" w:rsidRDefault="00C35FFE" w:rsidP="00AD4B74">
            <w:pPr>
              <w:ind w:left="-12"/>
              <w:rPr>
                <w:rFonts w:eastAsia="Times New Roman" w:cstheme="minorHAnsi"/>
                <w:lang w:eastAsia="en-GB"/>
              </w:rPr>
            </w:pPr>
            <w:r w:rsidRPr="00774E0F">
              <w:rPr>
                <w:rFonts w:eastAsia="Times New Roman" w:cstheme="minorHAnsi"/>
                <w:lang w:eastAsia="en-GB"/>
              </w:rPr>
              <w:t>% of HH living in host family permanent houses</w:t>
            </w:r>
          </w:p>
        </w:tc>
      </w:tr>
      <w:tr w:rsidR="00C35FFE" w:rsidRPr="00570122" w14:paraId="6B0AC818" w14:textId="77777777" w:rsidTr="00AD4B74">
        <w:tc>
          <w:tcPr>
            <w:tcW w:w="283" w:type="dxa"/>
          </w:tcPr>
          <w:p w14:paraId="774C99E7" w14:textId="77777777" w:rsidR="00C35FFE" w:rsidRPr="00570122" w:rsidRDefault="00C35FFE" w:rsidP="00AD4B74">
            <w:pPr>
              <w:ind w:left="-12"/>
              <w:rPr>
                <w:rFonts w:cstheme="minorHAnsi"/>
              </w:rPr>
            </w:pPr>
          </w:p>
        </w:tc>
        <w:tc>
          <w:tcPr>
            <w:tcW w:w="10065" w:type="dxa"/>
          </w:tcPr>
          <w:p w14:paraId="50B92D46" w14:textId="72A1D3DF" w:rsidR="00C35FFE" w:rsidRPr="00C35FFE" w:rsidRDefault="00C35FFE" w:rsidP="007544CC">
            <w:pPr>
              <w:ind w:left="-12"/>
              <w:rPr>
                <w:rFonts w:eastAsia="Times New Roman" w:cstheme="minorHAnsi"/>
                <w:lang w:eastAsia="en-GB"/>
              </w:rPr>
            </w:pPr>
            <w:r w:rsidRPr="00774E0F">
              <w:rPr>
                <w:rFonts w:eastAsia="Times New Roman" w:cstheme="minorHAnsi"/>
                <w:lang w:eastAsia="en-GB"/>
              </w:rPr>
              <w:t xml:space="preserve">% of HH living </w:t>
            </w:r>
            <w:r w:rsidR="007544CC">
              <w:rPr>
                <w:rFonts w:eastAsia="Times New Roman" w:cstheme="minorHAnsi"/>
                <w:lang w:eastAsia="en-GB"/>
              </w:rPr>
              <w:t>in (</w:t>
            </w:r>
            <w:r w:rsidR="00CF57D3">
              <w:rPr>
                <w:rFonts w:eastAsia="Times New Roman" w:cstheme="minorHAnsi"/>
                <w:lang w:eastAsia="en-GB"/>
              </w:rPr>
              <w:t xml:space="preserve">Hotels/Motels, </w:t>
            </w:r>
            <w:r w:rsidR="007544CC">
              <w:rPr>
                <w:rFonts w:eastAsia="Times New Roman" w:cstheme="minorHAnsi"/>
                <w:lang w:eastAsia="en-GB"/>
              </w:rPr>
              <w:t>informal settlements, other shelter type, religious building, rented houses, school buildings, unfinished/abandoned building, unknown shelter type)</w:t>
            </w:r>
          </w:p>
        </w:tc>
      </w:tr>
    </w:tbl>
    <w:p w14:paraId="73FB8317" w14:textId="77777777" w:rsidR="0078520D" w:rsidRDefault="0078520D"/>
    <w:tbl>
      <w:tblPr>
        <w:tblStyle w:val="TableGrid"/>
        <w:tblW w:w="10348" w:type="dxa"/>
        <w:tblInd w:w="-147" w:type="dxa"/>
        <w:tblLook w:val="04A0" w:firstRow="1" w:lastRow="0" w:firstColumn="1" w:lastColumn="0" w:noHBand="0" w:noVBand="1"/>
      </w:tblPr>
      <w:tblGrid>
        <w:gridCol w:w="283"/>
        <w:gridCol w:w="10065"/>
      </w:tblGrid>
      <w:tr w:rsidR="00570122" w:rsidRPr="00570122" w14:paraId="0DB844D8" w14:textId="77777777" w:rsidTr="00AD4B74">
        <w:tc>
          <w:tcPr>
            <w:tcW w:w="10348" w:type="dxa"/>
            <w:gridSpan w:val="2"/>
            <w:shd w:val="clear" w:color="auto" w:fill="B4C6E7" w:themeFill="accent1" w:themeFillTint="66"/>
          </w:tcPr>
          <w:p w14:paraId="4E2F756A" w14:textId="2AF5572B" w:rsidR="00570122" w:rsidRPr="00570122" w:rsidRDefault="00110309" w:rsidP="00AD4B74">
            <w:pPr>
              <w:ind w:left="-12"/>
              <w:jc w:val="center"/>
              <w:rPr>
                <w:rFonts w:cstheme="minorHAnsi"/>
                <w:b/>
                <w:bCs/>
                <w:sz w:val="26"/>
                <w:szCs w:val="26"/>
              </w:rPr>
            </w:pPr>
            <w:r>
              <w:rPr>
                <w:rFonts w:cstheme="minorHAnsi"/>
                <w:b/>
                <w:bCs/>
                <w:sz w:val="26"/>
                <w:szCs w:val="26"/>
              </w:rPr>
              <w:t>IDPs Master Lists (</w:t>
            </w:r>
            <w:hyperlink r:id="rId16" w:history="1">
              <w:r>
                <w:rPr>
                  <w:rStyle w:val="Hyperlink"/>
                </w:rPr>
                <w:t>https://displacement.iom.int/datasets/iraq-%E2%80%94-idps-master-lists-%E2%80%94-round-114</w:t>
              </w:r>
            </w:hyperlink>
            <w:r>
              <w:t>)</w:t>
            </w:r>
          </w:p>
        </w:tc>
      </w:tr>
      <w:tr w:rsidR="00535F98" w:rsidRPr="00570122" w14:paraId="0E868983" w14:textId="77777777" w:rsidTr="00AD4B74">
        <w:tc>
          <w:tcPr>
            <w:tcW w:w="283" w:type="dxa"/>
          </w:tcPr>
          <w:p w14:paraId="7A4F46C5" w14:textId="77777777" w:rsidR="00535F98" w:rsidRPr="00570122" w:rsidRDefault="00535F98" w:rsidP="00AD4B74">
            <w:pPr>
              <w:ind w:left="-12"/>
              <w:rPr>
                <w:rFonts w:cstheme="minorHAnsi"/>
                <w:highlight w:val="yellow"/>
              </w:rPr>
            </w:pPr>
          </w:p>
        </w:tc>
        <w:tc>
          <w:tcPr>
            <w:tcW w:w="10065" w:type="dxa"/>
          </w:tcPr>
          <w:p w14:paraId="4E5ADABE" w14:textId="77777777" w:rsidR="00535F98" w:rsidRPr="00570122" w:rsidRDefault="00535F98" w:rsidP="00AD4B74">
            <w:pPr>
              <w:ind w:left="-12"/>
              <w:rPr>
                <w:rFonts w:cstheme="minorHAnsi"/>
                <w:highlight w:val="yellow"/>
              </w:rPr>
            </w:pPr>
          </w:p>
        </w:tc>
      </w:tr>
      <w:tr w:rsidR="0068587C" w:rsidRPr="00570122" w14:paraId="5017E372" w14:textId="77777777" w:rsidTr="00AD4B74">
        <w:tc>
          <w:tcPr>
            <w:tcW w:w="283" w:type="dxa"/>
            <w:shd w:val="clear" w:color="auto" w:fill="FBE4D5" w:themeFill="accent2" w:themeFillTint="33"/>
          </w:tcPr>
          <w:p w14:paraId="39CB73F9" w14:textId="77777777" w:rsidR="0068587C" w:rsidRPr="00570122" w:rsidRDefault="0068587C" w:rsidP="00AD4B74">
            <w:pPr>
              <w:ind w:left="-12"/>
              <w:rPr>
                <w:rFonts w:cstheme="minorHAnsi"/>
                <w:b/>
                <w:bCs/>
              </w:rPr>
            </w:pPr>
          </w:p>
        </w:tc>
        <w:tc>
          <w:tcPr>
            <w:tcW w:w="10065" w:type="dxa"/>
            <w:shd w:val="clear" w:color="auto" w:fill="FBE4D5" w:themeFill="accent2" w:themeFillTint="33"/>
          </w:tcPr>
          <w:p w14:paraId="4D2CF09F" w14:textId="77777777" w:rsidR="0068587C" w:rsidRPr="00570122" w:rsidRDefault="0068587C" w:rsidP="00AD4B74">
            <w:pPr>
              <w:ind w:left="-12"/>
              <w:rPr>
                <w:rFonts w:cstheme="minorHAnsi"/>
                <w:b/>
                <w:bCs/>
              </w:rPr>
            </w:pPr>
            <w:r w:rsidRPr="00570122">
              <w:rPr>
                <w:rFonts w:cstheme="minorHAnsi"/>
                <w:b/>
                <w:bCs/>
              </w:rPr>
              <w:t xml:space="preserve">General and Geographical information </w:t>
            </w:r>
          </w:p>
        </w:tc>
      </w:tr>
      <w:tr w:rsidR="00110309" w:rsidRPr="00570122" w14:paraId="5E84B4B8" w14:textId="77777777" w:rsidTr="00AD4B74">
        <w:tc>
          <w:tcPr>
            <w:tcW w:w="283" w:type="dxa"/>
          </w:tcPr>
          <w:p w14:paraId="5D5F0D52" w14:textId="77777777" w:rsidR="00110309" w:rsidRPr="00570122" w:rsidRDefault="00110309" w:rsidP="00AD4B74">
            <w:pPr>
              <w:ind w:left="-12"/>
              <w:rPr>
                <w:rFonts w:cstheme="minorHAnsi"/>
                <w:highlight w:val="yellow"/>
              </w:rPr>
            </w:pPr>
          </w:p>
        </w:tc>
        <w:tc>
          <w:tcPr>
            <w:tcW w:w="10065" w:type="dxa"/>
          </w:tcPr>
          <w:p w14:paraId="228EE21A" w14:textId="7DE1225F" w:rsidR="00110309" w:rsidRPr="00570122" w:rsidRDefault="00110309" w:rsidP="00110309">
            <w:pPr>
              <w:ind w:left="-12"/>
              <w:rPr>
                <w:rFonts w:cstheme="minorHAnsi"/>
              </w:rPr>
            </w:pPr>
            <w:r>
              <w:rPr>
                <w:rFonts w:cstheme="minorHAnsi"/>
              </w:rPr>
              <w:t xml:space="preserve">Name, Place ID of all IDPs of all </w:t>
            </w:r>
            <w:proofErr w:type="gramStart"/>
            <w:r>
              <w:rPr>
                <w:rFonts w:cstheme="minorHAnsi"/>
              </w:rPr>
              <w:t>districts(</w:t>
            </w:r>
            <w:proofErr w:type="gramEnd"/>
            <w:r>
              <w:rPr>
                <w:rFonts w:cstheme="minorHAnsi"/>
              </w:rPr>
              <w:t xml:space="preserve">HHs coming from camp) </w:t>
            </w:r>
          </w:p>
        </w:tc>
      </w:tr>
      <w:tr w:rsidR="00535F98" w:rsidRPr="00570122" w14:paraId="0D7175CE" w14:textId="77777777" w:rsidTr="00AD4B74">
        <w:tc>
          <w:tcPr>
            <w:tcW w:w="283" w:type="dxa"/>
          </w:tcPr>
          <w:p w14:paraId="613CE87D" w14:textId="77777777" w:rsidR="00535F98" w:rsidRPr="00570122" w:rsidRDefault="00535F98" w:rsidP="00AD4B74">
            <w:pPr>
              <w:ind w:left="-12"/>
              <w:rPr>
                <w:rFonts w:cstheme="minorHAnsi"/>
                <w:highlight w:val="yellow"/>
              </w:rPr>
            </w:pPr>
          </w:p>
        </w:tc>
        <w:tc>
          <w:tcPr>
            <w:tcW w:w="10065" w:type="dxa"/>
          </w:tcPr>
          <w:p w14:paraId="78AFDB00" w14:textId="537A38FB" w:rsidR="00535F98" w:rsidRPr="00570122" w:rsidRDefault="00110309" w:rsidP="00110309">
            <w:pPr>
              <w:ind w:left="-12"/>
              <w:rPr>
                <w:rFonts w:cstheme="minorHAnsi"/>
              </w:rPr>
            </w:pPr>
            <w:r w:rsidRPr="00570122">
              <w:rPr>
                <w:rFonts w:cstheme="minorHAnsi"/>
              </w:rPr>
              <w:t xml:space="preserve">Geographical coordinate of all </w:t>
            </w:r>
            <w:r>
              <w:rPr>
                <w:rFonts w:cstheme="minorHAnsi"/>
              </w:rPr>
              <w:t xml:space="preserve">IDPs </w:t>
            </w:r>
            <w:r w:rsidRPr="00570122">
              <w:rPr>
                <w:rFonts w:cstheme="minorHAnsi"/>
              </w:rPr>
              <w:t>communities/ camps (GPS Long and Lat)</w:t>
            </w:r>
          </w:p>
        </w:tc>
      </w:tr>
      <w:tr w:rsidR="00570122" w:rsidRPr="00570122" w14:paraId="49254902" w14:textId="77777777" w:rsidTr="00AD4B74">
        <w:tc>
          <w:tcPr>
            <w:tcW w:w="283" w:type="dxa"/>
          </w:tcPr>
          <w:p w14:paraId="75D46E17" w14:textId="77777777" w:rsidR="00570122" w:rsidRPr="00570122" w:rsidRDefault="00570122" w:rsidP="00AD4B74">
            <w:pPr>
              <w:ind w:left="-12"/>
              <w:rPr>
                <w:rFonts w:cstheme="minorHAnsi"/>
                <w:highlight w:val="yellow"/>
              </w:rPr>
            </w:pPr>
          </w:p>
        </w:tc>
        <w:tc>
          <w:tcPr>
            <w:tcW w:w="10065" w:type="dxa"/>
          </w:tcPr>
          <w:p w14:paraId="7190554C" w14:textId="4E4F0BC4" w:rsidR="00570122" w:rsidRPr="00570122" w:rsidRDefault="00110309" w:rsidP="00AD4B74">
            <w:pPr>
              <w:ind w:left="-12"/>
              <w:rPr>
                <w:rFonts w:cstheme="minorHAnsi"/>
              </w:rPr>
            </w:pPr>
            <w:r w:rsidRPr="00570122">
              <w:rPr>
                <w:rFonts w:cstheme="minorHAnsi"/>
              </w:rPr>
              <w:t xml:space="preserve">Administrative levels: </w:t>
            </w:r>
            <w:r>
              <w:rPr>
                <w:rFonts w:cstheme="minorHAnsi"/>
              </w:rPr>
              <w:t>Governorate, District, Location name in English</w:t>
            </w:r>
          </w:p>
        </w:tc>
      </w:tr>
      <w:tr w:rsidR="00CF57D3" w:rsidRPr="00570122" w14:paraId="6FD22A58" w14:textId="77777777" w:rsidTr="00AD4B74">
        <w:tc>
          <w:tcPr>
            <w:tcW w:w="283" w:type="dxa"/>
          </w:tcPr>
          <w:p w14:paraId="10553EA0" w14:textId="77777777" w:rsidR="00CF57D3" w:rsidRPr="00570122" w:rsidRDefault="00CF57D3" w:rsidP="00AD4B74">
            <w:pPr>
              <w:ind w:left="-12"/>
              <w:rPr>
                <w:rFonts w:cstheme="minorHAnsi"/>
                <w:highlight w:val="yellow"/>
              </w:rPr>
            </w:pPr>
          </w:p>
        </w:tc>
        <w:tc>
          <w:tcPr>
            <w:tcW w:w="10065" w:type="dxa"/>
          </w:tcPr>
          <w:p w14:paraId="31504775" w14:textId="6CAF5FD0" w:rsidR="00CF57D3" w:rsidRPr="00570122" w:rsidRDefault="00CF57D3" w:rsidP="00AD4B74">
            <w:pPr>
              <w:ind w:left="-12"/>
              <w:rPr>
                <w:rFonts w:cstheme="minorHAnsi"/>
              </w:rPr>
            </w:pPr>
            <w:r>
              <w:rPr>
                <w:rFonts w:cstheme="minorHAnsi"/>
              </w:rPr>
              <w:t>Link for Map (Open street map, Google map, Bing map)</w:t>
            </w:r>
          </w:p>
        </w:tc>
      </w:tr>
      <w:tr w:rsidR="0068587C" w:rsidRPr="00570122" w14:paraId="2BD191C3" w14:textId="77777777" w:rsidTr="00AD4B74">
        <w:tc>
          <w:tcPr>
            <w:tcW w:w="283" w:type="dxa"/>
            <w:shd w:val="clear" w:color="auto" w:fill="FBE4D5" w:themeFill="accent2" w:themeFillTint="33"/>
          </w:tcPr>
          <w:p w14:paraId="47FB7D6A" w14:textId="77777777" w:rsidR="0068587C" w:rsidRPr="00570122" w:rsidRDefault="0068587C" w:rsidP="00AD4B74">
            <w:pPr>
              <w:ind w:left="-12"/>
              <w:rPr>
                <w:rFonts w:cstheme="minorHAnsi"/>
                <w:b/>
                <w:bCs/>
              </w:rPr>
            </w:pPr>
          </w:p>
        </w:tc>
        <w:tc>
          <w:tcPr>
            <w:tcW w:w="10065" w:type="dxa"/>
            <w:shd w:val="clear" w:color="auto" w:fill="FBE4D5" w:themeFill="accent2" w:themeFillTint="33"/>
          </w:tcPr>
          <w:p w14:paraId="1607298C" w14:textId="77777777" w:rsidR="0068587C" w:rsidRPr="00570122" w:rsidRDefault="0068587C" w:rsidP="00AD4B74">
            <w:pPr>
              <w:ind w:left="-12"/>
              <w:rPr>
                <w:rFonts w:cstheme="minorHAnsi"/>
                <w:b/>
                <w:bCs/>
              </w:rPr>
            </w:pPr>
            <w:r w:rsidRPr="00570122">
              <w:rPr>
                <w:rFonts w:cstheme="minorHAnsi"/>
                <w:b/>
                <w:bCs/>
              </w:rPr>
              <w:t>Demographic estimates of population (IDPs)</w:t>
            </w:r>
          </w:p>
        </w:tc>
      </w:tr>
      <w:tr w:rsidR="00110309" w:rsidRPr="00570122" w14:paraId="083474B7" w14:textId="77777777" w:rsidTr="00AD4B74">
        <w:tc>
          <w:tcPr>
            <w:tcW w:w="283" w:type="dxa"/>
          </w:tcPr>
          <w:p w14:paraId="0356F295" w14:textId="77777777" w:rsidR="00110309" w:rsidRPr="00570122" w:rsidRDefault="00110309" w:rsidP="00AD4B74">
            <w:pPr>
              <w:ind w:left="-12"/>
              <w:rPr>
                <w:rFonts w:cstheme="minorHAnsi"/>
                <w:highlight w:val="yellow"/>
              </w:rPr>
            </w:pPr>
          </w:p>
        </w:tc>
        <w:tc>
          <w:tcPr>
            <w:tcW w:w="10065" w:type="dxa"/>
          </w:tcPr>
          <w:p w14:paraId="39A4F414" w14:textId="43E28E34" w:rsidR="00110309" w:rsidRPr="00BF76C2" w:rsidRDefault="00110309" w:rsidP="00110309">
            <w:pPr>
              <w:tabs>
                <w:tab w:val="left" w:pos="2610"/>
              </w:tabs>
              <w:ind w:left="-12"/>
              <w:rPr>
                <w:rFonts w:cstheme="minorHAnsi"/>
              </w:rPr>
            </w:pPr>
            <w:r>
              <w:rPr>
                <w:rFonts w:cstheme="minorHAnsi"/>
              </w:rPr>
              <w:t>Population Numbers for each all IDPs communities/camps</w:t>
            </w:r>
          </w:p>
        </w:tc>
      </w:tr>
      <w:tr w:rsidR="00CE54B6" w:rsidRPr="00570122" w14:paraId="363415DF" w14:textId="77777777" w:rsidTr="00AD4B74">
        <w:tc>
          <w:tcPr>
            <w:tcW w:w="283" w:type="dxa"/>
          </w:tcPr>
          <w:p w14:paraId="024BC4F1" w14:textId="77777777" w:rsidR="00CE54B6" w:rsidRPr="00570122" w:rsidRDefault="00CE54B6" w:rsidP="00AD4B74">
            <w:pPr>
              <w:ind w:left="-12"/>
              <w:rPr>
                <w:rFonts w:cstheme="minorHAnsi"/>
                <w:highlight w:val="yellow"/>
              </w:rPr>
            </w:pPr>
          </w:p>
        </w:tc>
        <w:tc>
          <w:tcPr>
            <w:tcW w:w="10065" w:type="dxa"/>
          </w:tcPr>
          <w:p w14:paraId="2A72866A" w14:textId="77777777" w:rsidR="00CE54B6" w:rsidRPr="00870996" w:rsidRDefault="00CE54B6" w:rsidP="00D77349">
            <w:pPr>
              <w:ind w:left="-12"/>
              <w:rPr>
                <w:rFonts w:cstheme="minorHAnsi"/>
              </w:rPr>
            </w:pPr>
            <w:r w:rsidRPr="00BF76C2">
              <w:rPr>
                <w:rFonts w:cstheme="minorHAnsi"/>
              </w:rPr>
              <w:t>Total Individuals</w:t>
            </w:r>
          </w:p>
          <w:p w14:paraId="2FCF13B7" w14:textId="1E8B51A5" w:rsidR="00CE54B6" w:rsidRPr="00570122" w:rsidRDefault="00CE54B6" w:rsidP="00110309">
            <w:pPr>
              <w:ind w:left="-12"/>
              <w:rPr>
                <w:rFonts w:cstheme="minorHAnsi"/>
              </w:rPr>
            </w:pPr>
            <w:r w:rsidRPr="00BF76C2">
              <w:rPr>
                <w:rFonts w:cstheme="minorHAnsi"/>
              </w:rPr>
              <w:t>Total HHs</w:t>
            </w:r>
          </w:p>
        </w:tc>
      </w:tr>
      <w:tr w:rsidR="00CE54B6" w:rsidRPr="00570122" w14:paraId="46C3F643" w14:textId="77777777" w:rsidTr="00CF57D3">
        <w:trPr>
          <w:trHeight w:val="305"/>
        </w:trPr>
        <w:tc>
          <w:tcPr>
            <w:tcW w:w="283" w:type="dxa"/>
            <w:shd w:val="clear" w:color="auto" w:fill="FBE4D5" w:themeFill="accent2" w:themeFillTint="33"/>
          </w:tcPr>
          <w:p w14:paraId="356B7580" w14:textId="77777777" w:rsidR="00CE54B6" w:rsidRPr="00570122" w:rsidRDefault="00CE54B6" w:rsidP="00AD4B74">
            <w:pPr>
              <w:ind w:left="-12"/>
              <w:rPr>
                <w:rFonts w:cstheme="minorHAnsi"/>
                <w:b/>
                <w:bCs/>
              </w:rPr>
            </w:pPr>
          </w:p>
        </w:tc>
        <w:tc>
          <w:tcPr>
            <w:tcW w:w="10065" w:type="dxa"/>
            <w:shd w:val="clear" w:color="auto" w:fill="FBE4D5" w:themeFill="accent2" w:themeFillTint="33"/>
          </w:tcPr>
          <w:p w14:paraId="76877C99" w14:textId="77777777" w:rsidR="00CE54B6" w:rsidRPr="00570122" w:rsidRDefault="00CE54B6" w:rsidP="00AD4B74">
            <w:pPr>
              <w:ind w:left="-12"/>
              <w:rPr>
                <w:rFonts w:cstheme="minorHAnsi"/>
                <w:b/>
                <w:bCs/>
              </w:rPr>
            </w:pPr>
            <w:r>
              <w:rPr>
                <w:rFonts w:cstheme="minorHAnsi"/>
                <w:b/>
                <w:bCs/>
              </w:rPr>
              <w:t>Shelter types/overcrowding</w:t>
            </w:r>
          </w:p>
        </w:tc>
      </w:tr>
      <w:tr w:rsidR="001F2A04" w:rsidRPr="00570122" w14:paraId="2481AB5F" w14:textId="77777777" w:rsidTr="00AD4B74">
        <w:tc>
          <w:tcPr>
            <w:tcW w:w="283" w:type="dxa"/>
          </w:tcPr>
          <w:p w14:paraId="13C84157" w14:textId="77777777" w:rsidR="001F2A04" w:rsidRPr="00570122" w:rsidRDefault="001F2A04" w:rsidP="00AD4B74">
            <w:pPr>
              <w:ind w:left="-12"/>
              <w:rPr>
                <w:rFonts w:cstheme="minorHAnsi"/>
                <w:highlight w:val="yellow"/>
              </w:rPr>
            </w:pPr>
          </w:p>
        </w:tc>
        <w:tc>
          <w:tcPr>
            <w:tcW w:w="10065" w:type="dxa"/>
          </w:tcPr>
          <w:p w14:paraId="047F58E3" w14:textId="41404196" w:rsidR="001F2A04" w:rsidRPr="00570122" w:rsidRDefault="00110309" w:rsidP="00CF57D3">
            <w:pPr>
              <w:ind w:left="-12"/>
              <w:rPr>
                <w:rFonts w:cstheme="minorHAnsi"/>
              </w:rPr>
            </w:pPr>
            <w:r>
              <w:rPr>
                <w:rFonts w:eastAsia="Times New Roman" w:cstheme="minorHAnsi"/>
                <w:lang w:eastAsia="en-GB"/>
              </w:rPr>
              <w:t xml:space="preserve">% of HH living in </w:t>
            </w:r>
            <w:r w:rsidR="00CF57D3">
              <w:rPr>
                <w:rFonts w:eastAsia="Times New Roman" w:cstheme="minorHAnsi"/>
                <w:lang w:eastAsia="en-GB"/>
              </w:rPr>
              <w:t>camp</w:t>
            </w:r>
          </w:p>
        </w:tc>
      </w:tr>
      <w:tr w:rsidR="001F2A04" w:rsidRPr="00570122" w14:paraId="26419FA9" w14:textId="77777777" w:rsidTr="00AD4B74">
        <w:tc>
          <w:tcPr>
            <w:tcW w:w="283" w:type="dxa"/>
          </w:tcPr>
          <w:p w14:paraId="7C9113E8" w14:textId="77777777" w:rsidR="001F2A04" w:rsidRPr="00570122" w:rsidRDefault="001F2A04" w:rsidP="00AD4B74">
            <w:pPr>
              <w:ind w:left="-12"/>
              <w:rPr>
                <w:rFonts w:cstheme="minorHAnsi"/>
                <w:highlight w:val="yellow"/>
              </w:rPr>
            </w:pPr>
          </w:p>
        </w:tc>
        <w:tc>
          <w:tcPr>
            <w:tcW w:w="10065" w:type="dxa"/>
          </w:tcPr>
          <w:p w14:paraId="64B59C7F" w14:textId="5F339DE5" w:rsidR="001F2A04" w:rsidRPr="00570122" w:rsidRDefault="00CF57D3" w:rsidP="00AD4B74">
            <w:pPr>
              <w:ind w:left="-12"/>
              <w:rPr>
                <w:rFonts w:cstheme="minorHAnsi"/>
              </w:rPr>
            </w:pPr>
            <w:r>
              <w:rPr>
                <w:rFonts w:eastAsia="Times New Roman" w:cstheme="minorHAnsi"/>
                <w:lang w:eastAsia="en-GB"/>
              </w:rPr>
              <w:t xml:space="preserve">% of HH living in host family permanent houses </w:t>
            </w:r>
          </w:p>
        </w:tc>
      </w:tr>
      <w:tr w:rsidR="001F2A04" w:rsidRPr="00570122" w14:paraId="187628A7" w14:textId="77777777" w:rsidTr="00AD4B74">
        <w:tc>
          <w:tcPr>
            <w:tcW w:w="283" w:type="dxa"/>
          </w:tcPr>
          <w:p w14:paraId="7BB5E514" w14:textId="77777777" w:rsidR="001F2A04" w:rsidRPr="00570122" w:rsidRDefault="001F2A04" w:rsidP="00AD4B74">
            <w:pPr>
              <w:ind w:left="-12"/>
              <w:rPr>
                <w:rFonts w:cstheme="minorHAnsi"/>
                <w:highlight w:val="yellow"/>
              </w:rPr>
            </w:pPr>
          </w:p>
        </w:tc>
        <w:tc>
          <w:tcPr>
            <w:tcW w:w="10065" w:type="dxa"/>
          </w:tcPr>
          <w:p w14:paraId="0C223C76" w14:textId="5B625374" w:rsidR="001F2A04" w:rsidRPr="00570122" w:rsidRDefault="00CF57D3" w:rsidP="00AD4B74">
            <w:pPr>
              <w:ind w:left="-12"/>
              <w:rPr>
                <w:rFonts w:cstheme="minorHAnsi"/>
              </w:rPr>
            </w:pPr>
            <w:r>
              <w:rPr>
                <w:rFonts w:eastAsia="Times New Roman" w:cstheme="minorHAnsi"/>
                <w:lang w:eastAsia="en-GB"/>
              </w:rPr>
              <w:t>% of HH living in (Hotel/Motel or short-term rental, informal settlements, other shelter type, religious building, rental (habitable, uninhabitable), school building, unfinished/abandoned building, own property, unknown shelter type)</w:t>
            </w:r>
          </w:p>
        </w:tc>
      </w:tr>
    </w:tbl>
    <w:p w14:paraId="6A46153E" w14:textId="77777777" w:rsidR="00E04F46" w:rsidRPr="00FE620A" w:rsidRDefault="00E04F46" w:rsidP="0099047F"/>
    <w:sectPr w:rsidR="00E04F46" w:rsidRPr="00FE620A" w:rsidSect="0099047F">
      <w:headerReference w:type="default" r:id="rId17"/>
      <w:pgSz w:w="11906" w:h="16838"/>
      <w:pgMar w:top="567"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80EE" w14:textId="77777777" w:rsidR="00A80B1A" w:rsidRDefault="00A80B1A" w:rsidP="009F33C7">
      <w:pPr>
        <w:spacing w:after="0" w:line="240" w:lineRule="auto"/>
      </w:pPr>
      <w:r>
        <w:separator/>
      </w:r>
    </w:p>
  </w:endnote>
  <w:endnote w:type="continuationSeparator" w:id="0">
    <w:p w14:paraId="0F1F777B" w14:textId="77777777" w:rsidR="00A80B1A" w:rsidRDefault="00A80B1A" w:rsidP="009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7F1B" w14:textId="77777777" w:rsidR="00A80B1A" w:rsidRDefault="00A80B1A" w:rsidP="009F33C7">
      <w:pPr>
        <w:spacing w:after="0" w:line="240" w:lineRule="auto"/>
      </w:pPr>
      <w:r>
        <w:separator/>
      </w:r>
    </w:p>
  </w:footnote>
  <w:footnote w:type="continuationSeparator" w:id="0">
    <w:p w14:paraId="02AD122A" w14:textId="77777777" w:rsidR="00A80B1A" w:rsidRDefault="00A80B1A" w:rsidP="009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17934"/>
      <w:docPartObj>
        <w:docPartGallery w:val="Page Numbers (Margins)"/>
        <w:docPartUnique/>
      </w:docPartObj>
    </w:sdtPr>
    <w:sdtEndPr/>
    <w:sdtContent>
      <w:p w14:paraId="6C652538" w14:textId="5DC09A7F" w:rsidR="009F33C7" w:rsidRDefault="009F33C7">
        <w:pPr>
          <w:pStyle w:val="Header"/>
        </w:pPr>
        <w:r>
          <w:rPr>
            <w:noProof/>
            <w:lang w:val="en-US"/>
          </w:rPr>
          <mc:AlternateContent>
            <mc:Choice Requires="wps">
              <w:drawing>
                <wp:anchor distT="0" distB="0" distL="114300" distR="114300" simplePos="0" relativeHeight="251659264" behindDoc="0" locked="0" layoutInCell="0" allowOverlap="1" wp14:anchorId="0FE21C76" wp14:editId="29C7232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F57D3" w:rsidRPr="00CF57D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E21C7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F57D3" w:rsidRPr="00CF57D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87338"/>
    <w:multiLevelType w:val="hybridMultilevel"/>
    <w:tmpl w:val="0EA0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A3"/>
    <w:rsid w:val="00053BD1"/>
    <w:rsid w:val="000573A1"/>
    <w:rsid w:val="00067EF0"/>
    <w:rsid w:val="000B47BD"/>
    <w:rsid w:val="0010477D"/>
    <w:rsid w:val="00110309"/>
    <w:rsid w:val="001428E3"/>
    <w:rsid w:val="00147133"/>
    <w:rsid w:val="00171395"/>
    <w:rsid w:val="001A2A6A"/>
    <w:rsid w:val="001E51E6"/>
    <w:rsid w:val="001F2A04"/>
    <w:rsid w:val="00223C02"/>
    <w:rsid w:val="00245C1C"/>
    <w:rsid w:val="00270EA3"/>
    <w:rsid w:val="002C294C"/>
    <w:rsid w:val="002C32B5"/>
    <w:rsid w:val="00376584"/>
    <w:rsid w:val="00380326"/>
    <w:rsid w:val="00386C37"/>
    <w:rsid w:val="003905AE"/>
    <w:rsid w:val="003F6A60"/>
    <w:rsid w:val="00407F4F"/>
    <w:rsid w:val="00413C88"/>
    <w:rsid w:val="004143FF"/>
    <w:rsid w:val="00445202"/>
    <w:rsid w:val="004B0694"/>
    <w:rsid w:val="004B7B15"/>
    <w:rsid w:val="0050775F"/>
    <w:rsid w:val="00522902"/>
    <w:rsid w:val="00527CBD"/>
    <w:rsid w:val="00535F98"/>
    <w:rsid w:val="00541351"/>
    <w:rsid w:val="00564BE9"/>
    <w:rsid w:val="00570122"/>
    <w:rsid w:val="005C22EE"/>
    <w:rsid w:val="005D785F"/>
    <w:rsid w:val="006151C7"/>
    <w:rsid w:val="00623F71"/>
    <w:rsid w:val="006651AA"/>
    <w:rsid w:val="006856A6"/>
    <w:rsid w:val="0068587C"/>
    <w:rsid w:val="006B1170"/>
    <w:rsid w:val="006D6566"/>
    <w:rsid w:val="00736807"/>
    <w:rsid w:val="007544CC"/>
    <w:rsid w:val="00774E0F"/>
    <w:rsid w:val="0078520D"/>
    <w:rsid w:val="0078563C"/>
    <w:rsid w:val="007A19E7"/>
    <w:rsid w:val="007A258C"/>
    <w:rsid w:val="007B2863"/>
    <w:rsid w:val="007D16EA"/>
    <w:rsid w:val="00807B0D"/>
    <w:rsid w:val="00834360"/>
    <w:rsid w:val="00841F18"/>
    <w:rsid w:val="00865A30"/>
    <w:rsid w:val="00870996"/>
    <w:rsid w:val="0087652F"/>
    <w:rsid w:val="008E7FEE"/>
    <w:rsid w:val="0099047F"/>
    <w:rsid w:val="009A0B42"/>
    <w:rsid w:val="009E1B1B"/>
    <w:rsid w:val="009F33C7"/>
    <w:rsid w:val="00A32040"/>
    <w:rsid w:val="00A60C87"/>
    <w:rsid w:val="00A74873"/>
    <w:rsid w:val="00A80B1A"/>
    <w:rsid w:val="00A8735C"/>
    <w:rsid w:val="00AD4B74"/>
    <w:rsid w:val="00B2245B"/>
    <w:rsid w:val="00B5543C"/>
    <w:rsid w:val="00B814B4"/>
    <w:rsid w:val="00BF0573"/>
    <w:rsid w:val="00BF76C2"/>
    <w:rsid w:val="00C01DD0"/>
    <w:rsid w:val="00C122F6"/>
    <w:rsid w:val="00C2797A"/>
    <w:rsid w:val="00C35FFE"/>
    <w:rsid w:val="00C4008C"/>
    <w:rsid w:val="00C43278"/>
    <w:rsid w:val="00CB038B"/>
    <w:rsid w:val="00CD66D9"/>
    <w:rsid w:val="00CE34B8"/>
    <w:rsid w:val="00CE54B6"/>
    <w:rsid w:val="00CF57D3"/>
    <w:rsid w:val="00D01502"/>
    <w:rsid w:val="00D0437C"/>
    <w:rsid w:val="00D31E72"/>
    <w:rsid w:val="00DD19F6"/>
    <w:rsid w:val="00DE2C34"/>
    <w:rsid w:val="00DE3916"/>
    <w:rsid w:val="00DF2C8D"/>
    <w:rsid w:val="00E04F46"/>
    <w:rsid w:val="00E779E2"/>
    <w:rsid w:val="00EF0DE3"/>
    <w:rsid w:val="00F004EF"/>
    <w:rsid w:val="00F30A95"/>
    <w:rsid w:val="00F81A9F"/>
    <w:rsid w:val="00F909F3"/>
    <w:rsid w:val="00F930C6"/>
    <w:rsid w:val="00F93254"/>
    <w:rsid w:val="00FB640F"/>
    <w:rsid w:val="00FD6232"/>
    <w:rsid w:val="00FE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4F0C"/>
  <w15:docId w15:val="{EF0F7F29-30EF-4EFD-AE36-21361068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E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5202"/>
    <w:rPr>
      <w:color w:val="0000FF"/>
      <w:u w:val="single"/>
    </w:rPr>
  </w:style>
  <w:style w:type="paragraph" w:styleId="ListParagraph">
    <w:name w:val="List Paragraph"/>
    <w:basedOn w:val="Normal"/>
    <w:uiPriority w:val="34"/>
    <w:qFormat/>
    <w:rsid w:val="006B1170"/>
    <w:pPr>
      <w:ind w:left="720"/>
      <w:contextualSpacing/>
    </w:pPr>
  </w:style>
  <w:style w:type="character" w:customStyle="1" w:styleId="Heading2Char">
    <w:name w:val="Heading 2 Char"/>
    <w:basedOn w:val="DefaultParagraphFont"/>
    <w:link w:val="Heading2"/>
    <w:uiPriority w:val="9"/>
    <w:rsid w:val="00223C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2"/>
    <w:rPr>
      <w:rFonts w:ascii="Segoe UI" w:hAnsi="Segoe UI" w:cs="Segoe UI"/>
      <w:sz w:val="18"/>
      <w:szCs w:val="18"/>
    </w:rPr>
  </w:style>
  <w:style w:type="paragraph" w:styleId="FootnoteText">
    <w:name w:val="footnote text"/>
    <w:basedOn w:val="Normal"/>
    <w:link w:val="FootnoteTextChar"/>
    <w:uiPriority w:val="99"/>
    <w:semiHidden/>
    <w:unhideWhenUsed/>
    <w:rsid w:val="009F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3C7"/>
    <w:rPr>
      <w:sz w:val="20"/>
      <w:szCs w:val="20"/>
    </w:rPr>
  </w:style>
  <w:style w:type="character" w:styleId="FootnoteReference">
    <w:name w:val="footnote reference"/>
    <w:basedOn w:val="DefaultParagraphFont"/>
    <w:uiPriority w:val="99"/>
    <w:semiHidden/>
    <w:unhideWhenUsed/>
    <w:rsid w:val="009F33C7"/>
    <w:rPr>
      <w:vertAlign w:val="superscript"/>
    </w:rPr>
  </w:style>
  <w:style w:type="paragraph" w:styleId="Header">
    <w:name w:val="header"/>
    <w:basedOn w:val="Normal"/>
    <w:link w:val="HeaderChar"/>
    <w:uiPriority w:val="99"/>
    <w:unhideWhenUsed/>
    <w:rsid w:val="009F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C7"/>
  </w:style>
  <w:style w:type="paragraph" w:styleId="Footer">
    <w:name w:val="footer"/>
    <w:basedOn w:val="Normal"/>
    <w:link w:val="FooterChar"/>
    <w:uiPriority w:val="99"/>
    <w:unhideWhenUsed/>
    <w:rsid w:val="009F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C7"/>
  </w:style>
  <w:style w:type="character" w:customStyle="1" w:styleId="UnresolvedMention1">
    <w:name w:val="Unresolved Mention1"/>
    <w:basedOn w:val="DefaultParagraphFont"/>
    <w:uiPriority w:val="99"/>
    <w:semiHidden/>
    <w:unhideWhenUsed/>
    <w:rsid w:val="00865A30"/>
    <w:rPr>
      <w:color w:val="605E5C"/>
      <w:shd w:val="clear" w:color="auto" w:fill="E1DFDD"/>
    </w:rPr>
  </w:style>
  <w:style w:type="character" w:styleId="FollowedHyperlink">
    <w:name w:val="FollowedHyperlink"/>
    <w:basedOn w:val="DefaultParagraphFont"/>
    <w:uiPriority w:val="99"/>
    <w:semiHidden/>
    <w:unhideWhenUsed/>
    <w:rsid w:val="00B22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3647">
      <w:bodyDiv w:val="1"/>
      <w:marLeft w:val="0"/>
      <w:marRight w:val="0"/>
      <w:marTop w:val="0"/>
      <w:marBottom w:val="0"/>
      <w:divBdr>
        <w:top w:val="none" w:sz="0" w:space="0" w:color="auto"/>
        <w:left w:val="none" w:sz="0" w:space="0" w:color="auto"/>
        <w:bottom w:val="none" w:sz="0" w:space="0" w:color="auto"/>
        <w:right w:val="none" w:sz="0" w:space="0" w:color="auto"/>
      </w:divBdr>
    </w:div>
    <w:div w:id="525558682">
      <w:bodyDiv w:val="1"/>
      <w:marLeft w:val="0"/>
      <w:marRight w:val="0"/>
      <w:marTop w:val="0"/>
      <w:marBottom w:val="0"/>
      <w:divBdr>
        <w:top w:val="none" w:sz="0" w:space="0" w:color="auto"/>
        <w:left w:val="none" w:sz="0" w:space="0" w:color="auto"/>
        <w:bottom w:val="none" w:sz="0" w:space="0" w:color="auto"/>
        <w:right w:val="none" w:sz="0" w:space="0" w:color="auto"/>
      </w:divBdr>
    </w:div>
    <w:div w:id="625431626">
      <w:bodyDiv w:val="1"/>
      <w:marLeft w:val="0"/>
      <w:marRight w:val="0"/>
      <w:marTop w:val="0"/>
      <w:marBottom w:val="0"/>
      <w:divBdr>
        <w:top w:val="none" w:sz="0" w:space="0" w:color="auto"/>
        <w:left w:val="none" w:sz="0" w:space="0" w:color="auto"/>
        <w:bottom w:val="none" w:sz="0" w:space="0" w:color="auto"/>
        <w:right w:val="none" w:sz="0" w:space="0" w:color="auto"/>
      </w:divBdr>
    </w:div>
    <w:div w:id="678850765">
      <w:bodyDiv w:val="1"/>
      <w:marLeft w:val="0"/>
      <w:marRight w:val="0"/>
      <w:marTop w:val="0"/>
      <w:marBottom w:val="0"/>
      <w:divBdr>
        <w:top w:val="none" w:sz="0" w:space="0" w:color="auto"/>
        <w:left w:val="none" w:sz="0" w:space="0" w:color="auto"/>
        <w:bottom w:val="none" w:sz="0" w:space="0" w:color="auto"/>
        <w:right w:val="none" w:sz="0" w:space="0" w:color="auto"/>
      </w:divBdr>
    </w:div>
    <w:div w:id="837772931">
      <w:bodyDiv w:val="1"/>
      <w:marLeft w:val="0"/>
      <w:marRight w:val="0"/>
      <w:marTop w:val="0"/>
      <w:marBottom w:val="0"/>
      <w:divBdr>
        <w:top w:val="none" w:sz="0" w:space="0" w:color="auto"/>
        <w:left w:val="none" w:sz="0" w:space="0" w:color="auto"/>
        <w:bottom w:val="none" w:sz="0" w:space="0" w:color="auto"/>
        <w:right w:val="none" w:sz="0" w:space="0" w:color="auto"/>
      </w:divBdr>
    </w:div>
    <w:div w:id="929120327">
      <w:bodyDiv w:val="1"/>
      <w:marLeft w:val="0"/>
      <w:marRight w:val="0"/>
      <w:marTop w:val="0"/>
      <w:marBottom w:val="0"/>
      <w:divBdr>
        <w:top w:val="none" w:sz="0" w:space="0" w:color="auto"/>
        <w:left w:val="none" w:sz="0" w:space="0" w:color="auto"/>
        <w:bottom w:val="none" w:sz="0" w:space="0" w:color="auto"/>
        <w:right w:val="none" w:sz="0" w:space="0" w:color="auto"/>
      </w:divBdr>
    </w:div>
    <w:div w:id="1180388205">
      <w:bodyDiv w:val="1"/>
      <w:marLeft w:val="0"/>
      <w:marRight w:val="0"/>
      <w:marTop w:val="0"/>
      <w:marBottom w:val="0"/>
      <w:divBdr>
        <w:top w:val="none" w:sz="0" w:space="0" w:color="auto"/>
        <w:left w:val="none" w:sz="0" w:space="0" w:color="auto"/>
        <w:bottom w:val="none" w:sz="0" w:space="0" w:color="auto"/>
        <w:right w:val="none" w:sz="0" w:space="0" w:color="auto"/>
      </w:divBdr>
    </w:div>
    <w:div w:id="1222253155">
      <w:bodyDiv w:val="1"/>
      <w:marLeft w:val="0"/>
      <w:marRight w:val="0"/>
      <w:marTop w:val="0"/>
      <w:marBottom w:val="0"/>
      <w:divBdr>
        <w:top w:val="none" w:sz="0" w:space="0" w:color="auto"/>
        <w:left w:val="none" w:sz="0" w:space="0" w:color="auto"/>
        <w:bottom w:val="none" w:sz="0" w:space="0" w:color="auto"/>
        <w:right w:val="none" w:sz="0" w:space="0" w:color="auto"/>
      </w:divBdr>
    </w:div>
    <w:div w:id="1277558843">
      <w:bodyDiv w:val="1"/>
      <w:marLeft w:val="0"/>
      <w:marRight w:val="0"/>
      <w:marTop w:val="0"/>
      <w:marBottom w:val="0"/>
      <w:divBdr>
        <w:top w:val="none" w:sz="0" w:space="0" w:color="auto"/>
        <w:left w:val="none" w:sz="0" w:space="0" w:color="auto"/>
        <w:bottom w:val="none" w:sz="0" w:space="0" w:color="auto"/>
        <w:right w:val="none" w:sz="0" w:space="0" w:color="auto"/>
      </w:divBdr>
    </w:div>
    <w:div w:id="1318611301">
      <w:bodyDiv w:val="1"/>
      <w:marLeft w:val="0"/>
      <w:marRight w:val="0"/>
      <w:marTop w:val="0"/>
      <w:marBottom w:val="0"/>
      <w:divBdr>
        <w:top w:val="none" w:sz="0" w:space="0" w:color="auto"/>
        <w:left w:val="none" w:sz="0" w:space="0" w:color="auto"/>
        <w:bottom w:val="none" w:sz="0" w:space="0" w:color="auto"/>
        <w:right w:val="none" w:sz="0" w:space="0" w:color="auto"/>
      </w:divBdr>
    </w:div>
    <w:div w:id="1395004595">
      <w:bodyDiv w:val="1"/>
      <w:marLeft w:val="0"/>
      <w:marRight w:val="0"/>
      <w:marTop w:val="0"/>
      <w:marBottom w:val="0"/>
      <w:divBdr>
        <w:top w:val="none" w:sz="0" w:space="0" w:color="auto"/>
        <w:left w:val="none" w:sz="0" w:space="0" w:color="auto"/>
        <w:bottom w:val="none" w:sz="0" w:space="0" w:color="auto"/>
        <w:right w:val="none" w:sz="0" w:space="0" w:color="auto"/>
      </w:divBdr>
    </w:div>
    <w:div w:id="1551455902">
      <w:bodyDiv w:val="1"/>
      <w:marLeft w:val="0"/>
      <w:marRight w:val="0"/>
      <w:marTop w:val="0"/>
      <w:marBottom w:val="0"/>
      <w:divBdr>
        <w:top w:val="none" w:sz="0" w:space="0" w:color="auto"/>
        <w:left w:val="none" w:sz="0" w:space="0" w:color="auto"/>
        <w:bottom w:val="none" w:sz="0" w:space="0" w:color="auto"/>
        <w:right w:val="none" w:sz="0" w:space="0" w:color="auto"/>
      </w:divBdr>
    </w:div>
    <w:div w:id="1687248714">
      <w:bodyDiv w:val="1"/>
      <w:marLeft w:val="0"/>
      <w:marRight w:val="0"/>
      <w:marTop w:val="0"/>
      <w:marBottom w:val="0"/>
      <w:divBdr>
        <w:top w:val="none" w:sz="0" w:space="0" w:color="auto"/>
        <w:left w:val="none" w:sz="0" w:space="0" w:color="auto"/>
        <w:bottom w:val="none" w:sz="0" w:space="0" w:color="auto"/>
        <w:right w:val="none" w:sz="0" w:space="0" w:color="auto"/>
      </w:divBdr>
    </w:div>
    <w:div w:id="1918320194">
      <w:bodyDiv w:val="1"/>
      <w:marLeft w:val="0"/>
      <w:marRight w:val="0"/>
      <w:marTop w:val="0"/>
      <w:marBottom w:val="0"/>
      <w:divBdr>
        <w:top w:val="none" w:sz="0" w:space="0" w:color="auto"/>
        <w:left w:val="none" w:sz="0" w:space="0" w:color="auto"/>
        <w:bottom w:val="none" w:sz="0" w:space="0" w:color="auto"/>
        <w:right w:val="none" w:sz="0" w:space="0" w:color="auto"/>
      </w:divBdr>
    </w:div>
    <w:div w:id="1954288238">
      <w:bodyDiv w:val="1"/>
      <w:marLeft w:val="0"/>
      <w:marRight w:val="0"/>
      <w:marTop w:val="0"/>
      <w:marBottom w:val="0"/>
      <w:divBdr>
        <w:top w:val="none" w:sz="0" w:space="0" w:color="auto"/>
        <w:left w:val="none" w:sz="0" w:space="0" w:color="auto"/>
        <w:bottom w:val="none" w:sz="0" w:space="0" w:color="auto"/>
        <w:right w:val="none" w:sz="0" w:space="0" w:color="auto"/>
      </w:divBdr>
    </w:div>
    <w:div w:id="2077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 TargetMode="External"/><Relationship Id="rId13" Type="http://schemas.openxmlformats.org/officeDocument/2006/relationships/hyperlink" Target="https://displacement.iom.int/datasets/iraq-%E2%80%94-idps-master-lists-%E2%80%94-round-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placement.iom.int/datasets/iraq-%E2%80%94-returnee-master-lists-%E2%80%94-round-1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splacement.iom.int/datasets/iraq-%E2%80%94-idps-master-lists-%E2%80%94-round-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aqdtm.iom.int/ILA4" TargetMode="External"/><Relationship Id="rId5" Type="http://schemas.openxmlformats.org/officeDocument/2006/relationships/webSettings" Target="webSettings.xml"/><Relationship Id="rId15" Type="http://schemas.openxmlformats.org/officeDocument/2006/relationships/hyperlink" Target="https://displacement.iom.int/datasets/iraq-%E2%80%94-returnee-master-lists-%E2%80%94-round-114" TargetMode="External"/><Relationship Id="rId10" Type="http://schemas.openxmlformats.org/officeDocument/2006/relationships/hyperlink" Target="http://iraqdtm.iom.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placement.iom.int/iraq" TargetMode="External"/><Relationship Id="rId14" Type="http://schemas.openxmlformats.org/officeDocument/2006/relationships/hyperlink" Target="mailto:DTMSuppor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8586-01A6-4E49-A314-D778A214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Daunia Pavone</dc:creator>
  <cp:lastModifiedBy>Daunia Pavone</cp:lastModifiedBy>
  <cp:revision>2</cp:revision>
  <dcterms:created xsi:type="dcterms:W3CDTF">2020-04-06T15:11:00Z</dcterms:created>
  <dcterms:modified xsi:type="dcterms:W3CDTF">2020-04-06T15:11:00Z</dcterms:modified>
</cp:coreProperties>
</file>