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2"/>
          <w:szCs w:val="22"/>
          <w:lang w:val="nl-NL"/>
        </w:rPr>
        <w:id w:val="898868419"/>
        <w:docPartObj>
          <w:docPartGallery w:val="Table of Contents"/>
          <w:docPartUnique/>
        </w:docPartObj>
      </w:sdtPr>
      <w:sdtEndPr>
        <w:rPr>
          <w:b/>
          <w:bCs/>
          <w:noProof/>
        </w:rPr>
      </w:sdtEndPr>
      <w:sdtContent>
        <w:p w14:paraId="52A5E783" w14:textId="4AB19C67" w:rsidR="009F1D47" w:rsidRDefault="009F1D47" w:rsidP="00791445">
          <w:pPr>
            <w:pStyle w:val="TOCHeading"/>
            <w:spacing w:before="0" w:after="120" w:line="240" w:lineRule="auto"/>
          </w:pPr>
          <w:r>
            <w:t>Contents</w:t>
          </w:r>
        </w:p>
        <w:p w14:paraId="5B7A5F94" w14:textId="6DF8A7D5" w:rsidR="00791445" w:rsidRDefault="009F1D47" w:rsidP="00791445">
          <w:pPr>
            <w:pStyle w:val="TOC1"/>
            <w:rPr>
              <w:rFonts w:eastAsiaTheme="minorEastAsia"/>
              <w:noProof/>
              <w:lang w:val="en-GB" w:eastAsia="en-GB"/>
            </w:rPr>
          </w:pPr>
          <w:r>
            <w:fldChar w:fldCharType="begin"/>
          </w:r>
          <w:r>
            <w:instrText xml:space="preserve"> TOC \o "1-3" \h \z \u </w:instrText>
          </w:r>
          <w:r>
            <w:fldChar w:fldCharType="separate"/>
          </w:r>
          <w:hyperlink w:anchor="_Toc113354896" w:history="1">
            <w:r w:rsidR="00791445" w:rsidRPr="00A6124D">
              <w:rPr>
                <w:rStyle w:val="Hyperlink"/>
                <w:rFonts w:ascii="Tw Cen MT" w:hAnsi="Tw Cen MT"/>
                <w:i/>
                <w:iCs/>
                <w:noProof/>
                <w:lang w:val="en-GB"/>
              </w:rPr>
              <w:t>1.</w:t>
            </w:r>
            <w:r w:rsidR="00791445">
              <w:rPr>
                <w:rFonts w:eastAsiaTheme="minorEastAsia"/>
                <w:noProof/>
                <w:lang w:val="en-GB" w:eastAsia="en-GB"/>
              </w:rPr>
              <w:tab/>
            </w:r>
            <w:r w:rsidR="00791445" w:rsidRPr="00A6124D">
              <w:rPr>
                <w:rStyle w:val="Hyperlink"/>
                <w:rFonts w:ascii="Tw Cen MT" w:hAnsi="Tw Cen MT"/>
                <w:i/>
                <w:iCs/>
                <w:noProof/>
                <w:lang w:val="en-GB"/>
              </w:rPr>
              <w:t>What is the Displacement Tracking Matrix?</w:t>
            </w:r>
            <w:r w:rsidR="00791445">
              <w:rPr>
                <w:noProof/>
                <w:webHidden/>
              </w:rPr>
              <w:tab/>
            </w:r>
            <w:r w:rsidR="00791445">
              <w:rPr>
                <w:noProof/>
                <w:webHidden/>
              </w:rPr>
              <w:fldChar w:fldCharType="begin"/>
            </w:r>
            <w:r w:rsidR="00791445">
              <w:rPr>
                <w:noProof/>
                <w:webHidden/>
              </w:rPr>
              <w:instrText xml:space="preserve"> PAGEREF _Toc113354896 \h </w:instrText>
            </w:r>
            <w:r w:rsidR="00791445">
              <w:rPr>
                <w:noProof/>
                <w:webHidden/>
              </w:rPr>
            </w:r>
            <w:r w:rsidR="00791445">
              <w:rPr>
                <w:noProof/>
                <w:webHidden/>
              </w:rPr>
              <w:fldChar w:fldCharType="separate"/>
            </w:r>
            <w:r w:rsidR="00791445">
              <w:rPr>
                <w:noProof/>
                <w:webHidden/>
              </w:rPr>
              <w:t>1</w:t>
            </w:r>
            <w:r w:rsidR="00791445">
              <w:rPr>
                <w:noProof/>
                <w:webHidden/>
              </w:rPr>
              <w:fldChar w:fldCharType="end"/>
            </w:r>
          </w:hyperlink>
        </w:p>
        <w:p w14:paraId="00B1A79B" w14:textId="6A1361A8" w:rsidR="00791445" w:rsidRDefault="00791445" w:rsidP="00791445">
          <w:pPr>
            <w:pStyle w:val="TOC2"/>
            <w:tabs>
              <w:tab w:val="right" w:leader="dot" w:pos="9062"/>
            </w:tabs>
            <w:spacing w:after="120" w:line="240" w:lineRule="auto"/>
            <w:rPr>
              <w:rFonts w:eastAsiaTheme="minorEastAsia"/>
              <w:noProof/>
              <w:lang w:val="en-GB" w:eastAsia="en-GB"/>
            </w:rPr>
          </w:pPr>
          <w:hyperlink w:anchor="_Toc113354897" w:history="1">
            <w:r w:rsidRPr="00A6124D">
              <w:rPr>
                <w:rStyle w:val="Hyperlink"/>
                <w:rFonts w:ascii="Tw Cen MT" w:hAnsi="Tw Cen MT"/>
                <w:i/>
                <w:iCs/>
                <w:noProof/>
                <w:lang w:val="en-GB"/>
              </w:rPr>
              <w:t>The Multi Sectoral Location Assessment (MSLA)</w:t>
            </w:r>
            <w:r>
              <w:rPr>
                <w:noProof/>
                <w:webHidden/>
              </w:rPr>
              <w:tab/>
            </w:r>
            <w:r>
              <w:rPr>
                <w:noProof/>
                <w:webHidden/>
              </w:rPr>
              <w:fldChar w:fldCharType="begin"/>
            </w:r>
            <w:r>
              <w:rPr>
                <w:noProof/>
                <w:webHidden/>
              </w:rPr>
              <w:instrText xml:space="preserve"> PAGEREF _Toc113354897 \h </w:instrText>
            </w:r>
            <w:r>
              <w:rPr>
                <w:noProof/>
                <w:webHidden/>
              </w:rPr>
            </w:r>
            <w:r>
              <w:rPr>
                <w:noProof/>
                <w:webHidden/>
              </w:rPr>
              <w:fldChar w:fldCharType="separate"/>
            </w:r>
            <w:r>
              <w:rPr>
                <w:noProof/>
                <w:webHidden/>
              </w:rPr>
              <w:t>1</w:t>
            </w:r>
            <w:r>
              <w:rPr>
                <w:noProof/>
                <w:webHidden/>
              </w:rPr>
              <w:fldChar w:fldCharType="end"/>
            </w:r>
          </w:hyperlink>
        </w:p>
        <w:p w14:paraId="3A779BEF" w14:textId="2C653928" w:rsidR="00791445" w:rsidRDefault="00791445" w:rsidP="00791445">
          <w:pPr>
            <w:pStyle w:val="TOC2"/>
            <w:tabs>
              <w:tab w:val="right" w:leader="dot" w:pos="9062"/>
            </w:tabs>
            <w:spacing w:after="120" w:line="240" w:lineRule="auto"/>
            <w:rPr>
              <w:rFonts w:eastAsiaTheme="minorEastAsia"/>
              <w:noProof/>
              <w:lang w:val="en-GB" w:eastAsia="en-GB"/>
            </w:rPr>
          </w:pPr>
          <w:hyperlink w:anchor="_Toc113354898" w:history="1">
            <w:r w:rsidRPr="00A6124D">
              <w:rPr>
                <w:rStyle w:val="Hyperlink"/>
                <w:rFonts w:ascii="Tw Cen MT" w:hAnsi="Tw Cen MT"/>
                <w:i/>
                <w:iCs/>
                <w:noProof/>
                <w:lang w:val="en-GB"/>
              </w:rPr>
              <w:t>How is the questionnaire designed?</w:t>
            </w:r>
            <w:r>
              <w:rPr>
                <w:noProof/>
                <w:webHidden/>
              </w:rPr>
              <w:tab/>
            </w:r>
            <w:r>
              <w:rPr>
                <w:noProof/>
                <w:webHidden/>
              </w:rPr>
              <w:fldChar w:fldCharType="begin"/>
            </w:r>
            <w:r>
              <w:rPr>
                <w:noProof/>
                <w:webHidden/>
              </w:rPr>
              <w:instrText xml:space="preserve"> PAGEREF _Toc113354898 \h </w:instrText>
            </w:r>
            <w:r>
              <w:rPr>
                <w:noProof/>
                <w:webHidden/>
              </w:rPr>
            </w:r>
            <w:r>
              <w:rPr>
                <w:noProof/>
                <w:webHidden/>
              </w:rPr>
              <w:fldChar w:fldCharType="separate"/>
            </w:r>
            <w:r>
              <w:rPr>
                <w:noProof/>
                <w:webHidden/>
              </w:rPr>
              <w:t>1</w:t>
            </w:r>
            <w:r>
              <w:rPr>
                <w:noProof/>
                <w:webHidden/>
              </w:rPr>
              <w:fldChar w:fldCharType="end"/>
            </w:r>
          </w:hyperlink>
        </w:p>
        <w:p w14:paraId="19A5E343" w14:textId="3218A8F9" w:rsidR="00791445" w:rsidRDefault="00791445" w:rsidP="00791445">
          <w:pPr>
            <w:pStyle w:val="TOC1"/>
            <w:rPr>
              <w:rFonts w:eastAsiaTheme="minorEastAsia"/>
              <w:noProof/>
              <w:lang w:val="en-GB" w:eastAsia="en-GB"/>
            </w:rPr>
          </w:pPr>
          <w:hyperlink w:anchor="_Toc113354899" w:history="1">
            <w:r w:rsidRPr="00A6124D">
              <w:rPr>
                <w:rStyle w:val="Hyperlink"/>
                <w:rFonts w:ascii="Tw Cen MT" w:hAnsi="Tw Cen MT"/>
                <w:i/>
                <w:iCs/>
                <w:noProof/>
                <w:lang w:val="en-GB"/>
              </w:rPr>
              <w:t>2.</w:t>
            </w:r>
            <w:r>
              <w:rPr>
                <w:rFonts w:eastAsiaTheme="minorEastAsia"/>
                <w:noProof/>
                <w:lang w:val="en-GB" w:eastAsia="en-GB"/>
              </w:rPr>
              <w:tab/>
            </w:r>
            <w:r w:rsidRPr="00A6124D">
              <w:rPr>
                <w:rStyle w:val="Hyperlink"/>
                <w:rFonts w:ascii="Tw Cen MT" w:hAnsi="Tw Cen MT"/>
                <w:i/>
                <w:iCs/>
                <w:noProof/>
                <w:lang w:val="en-GB"/>
              </w:rPr>
              <w:t>What can I use DTM MSLA for?</w:t>
            </w:r>
            <w:r>
              <w:rPr>
                <w:noProof/>
                <w:webHidden/>
              </w:rPr>
              <w:tab/>
            </w:r>
            <w:r>
              <w:rPr>
                <w:noProof/>
                <w:webHidden/>
              </w:rPr>
              <w:fldChar w:fldCharType="begin"/>
            </w:r>
            <w:r>
              <w:rPr>
                <w:noProof/>
                <w:webHidden/>
              </w:rPr>
              <w:instrText xml:space="preserve"> PAGEREF _Toc113354899 \h </w:instrText>
            </w:r>
            <w:r>
              <w:rPr>
                <w:noProof/>
                <w:webHidden/>
              </w:rPr>
            </w:r>
            <w:r>
              <w:rPr>
                <w:noProof/>
                <w:webHidden/>
              </w:rPr>
              <w:fldChar w:fldCharType="separate"/>
            </w:r>
            <w:r>
              <w:rPr>
                <w:noProof/>
                <w:webHidden/>
              </w:rPr>
              <w:t>1</w:t>
            </w:r>
            <w:r>
              <w:rPr>
                <w:noProof/>
                <w:webHidden/>
              </w:rPr>
              <w:fldChar w:fldCharType="end"/>
            </w:r>
          </w:hyperlink>
        </w:p>
        <w:p w14:paraId="0C0C5291" w14:textId="5D5A3132" w:rsidR="00791445" w:rsidRDefault="00791445" w:rsidP="00791445">
          <w:pPr>
            <w:pStyle w:val="TOC1"/>
            <w:rPr>
              <w:rFonts w:eastAsiaTheme="minorEastAsia"/>
              <w:noProof/>
              <w:lang w:val="en-GB" w:eastAsia="en-GB"/>
            </w:rPr>
          </w:pPr>
          <w:hyperlink w:anchor="_Toc113354900" w:history="1">
            <w:r w:rsidRPr="00A6124D">
              <w:rPr>
                <w:rStyle w:val="Hyperlink"/>
                <w:rFonts w:ascii="Tw Cen MT" w:hAnsi="Tw Cen MT"/>
                <w:i/>
                <w:iCs/>
                <w:noProof/>
                <w:lang w:val="en-GB"/>
              </w:rPr>
              <w:t>3.</w:t>
            </w:r>
            <w:r>
              <w:rPr>
                <w:rFonts w:eastAsiaTheme="minorEastAsia"/>
                <w:noProof/>
                <w:lang w:val="en-GB" w:eastAsia="en-GB"/>
              </w:rPr>
              <w:tab/>
            </w:r>
            <w:r w:rsidRPr="00A6124D">
              <w:rPr>
                <w:rStyle w:val="Hyperlink"/>
                <w:rFonts w:ascii="Tw Cen MT" w:hAnsi="Tw Cen MT"/>
                <w:i/>
                <w:iCs/>
                <w:noProof/>
                <w:lang w:val="en-GB"/>
              </w:rPr>
              <w:t>How can GBV sub-cluster effectively work with DTM?</w:t>
            </w:r>
            <w:r>
              <w:rPr>
                <w:noProof/>
                <w:webHidden/>
              </w:rPr>
              <w:tab/>
            </w:r>
            <w:r>
              <w:rPr>
                <w:noProof/>
                <w:webHidden/>
              </w:rPr>
              <w:fldChar w:fldCharType="begin"/>
            </w:r>
            <w:r>
              <w:rPr>
                <w:noProof/>
                <w:webHidden/>
              </w:rPr>
              <w:instrText xml:space="preserve"> PAGEREF _Toc113354900 \h </w:instrText>
            </w:r>
            <w:r>
              <w:rPr>
                <w:noProof/>
                <w:webHidden/>
              </w:rPr>
            </w:r>
            <w:r>
              <w:rPr>
                <w:noProof/>
                <w:webHidden/>
              </w:rPr>
              <w:fldChar w:fldCharType="separate"/>
            </w:r>
            <w:r>
              <w:rPr>
                <w:noProof/>
                <w:webHidden/>
              </w:rPr>
              <w:t>2</w:t>
            </w:r>
            <w:r>
              <w:rPr>
                <w:noProof/>
                <w:webHidden/>
              </w:rPr>
              <w:fldChar w:fldCharType="end"/>
            </w:r>
          </w:hyperlink>
        </w:p>
        <w:p w14:paraId="4FC83441" w14:textId="4DD1358A" w:rsidR="00791445" w:rsidRDefault="00791445" w:rsidP="00791445">
          <w:pPr>
            <w:pStyle w:val="TOC1"/>
            <w:rPr>
              <w:rFonts w:eastAsiaTheme="minorEastAsia"/>
              <w:noProof/>
              <w:lang w:val="en-GB" w:eastAsia="en-GB"/>
            </w:rPr>
          </w:pPr>
          <w:hyperlink w:anchor="_Toc113354901" w:history="1">
            <w:r w:rsidRPr="00A6124D">
              <w:rPr>
                <w:rStyle w:val="Hyperlink"/>
                <w:rFonts w:ascii="Tw Cen MT" w:hAnsi="Tw Cen MT"/>
                <w:i/>
                <w:iCs/>
                <w:noProof/>
                <w:lang w:val="en-GB"/>
              </w:rPr>
              <w:t>4.</w:t>
            </w:r>
            <w:r>
              <w:rPr>
                <w:rFonts w:eastAsiaTheme="minorEastAsia"/>
                <w:noProof/>
                <w:lang w:val="en-GB" w:eastAsia="en-GB"/>
              </w:rPr>
              <w:tab/>
            </w:r>
            <w:r w:rsidRPr="00A6124D">
              <w:rPr>
                <w:rStyle w:val="Hyperlink"/>
                <w:rFonts w:ascii="Tw Cen MT" w:hAnsi="Tw Cen MT"/>
                <w:i/>
                <w:iCs/>
                <w:noProof/>
                <w:lang w:val="en-GB"/>
              </w:rPr>
              <w:t>What are the implications of the methodology behind DTM MSLA?</w:t>
            </w:r>
            <w:r>
              <w:rPr>
                <w:noProof/>
                <w:webHidden/>
              </w:rPr>
              <w:tab/>
            </w:r>
            <w:r>
              <w:rPr>
                <w:noProof/>
                <w:webHidden/>
              </w:rPr>
              <w:fldChar w:fldCharType="begin"/>
            </w:r>
            <w:r>
              <w:rPr>
                <w:noProof/>
                <w:webHidden/>
              </w:rPr>
              <w:instrText xml:space="preserve"> PAGEREF _Toc113354901 \h </w:instrText>
            </w:r>
            <w:r>
              <w:rPr>
                <w:noProof/>
                <w:webHidden/>
              </w:rPr>
            </w:r>
            <w:r>
              <w:rPr>
                <w:noProof/>
                <w:webHidden/>
              </w:rPr>
              <w:fldChar w:fldCharType="separate"/>
            </w:r>
            <w:r>
              <w:rPr>
                <w:noProof/>
                <w:webHidden/>
              </w:rPr>
              <w:t>2</w:t>
            </w:r>
            <w:r>
              <w:rPr>
                <w:noProof/>
                <w:webHidden/>
              </w:rPr>
              <w:fldChar w:fldCharType="end"/>
            </w:r>
          </w:hyperlink>
        </w:p>
        <w:p w14:paraId="4E898890" w14:textId="5C5588E9" w:rsidR="00791445" w:rsidRDefault="00791445" w:rsidP="00791445">
          <w:pPr>
            <w:pStyle w:val="TOC2"/>
            <w:tabs>
              <w:tab w:val="right" w:leader="dot" w:pos="9062"/>
            </w:tabs>
            <w:spacing w:after="120" w:line="240" w:lineRule="auto"/>
            <w:rPr>
              <w:rFonts w:eastAsiaTheme="minorEastAsia"/>
              <w:noProof/>
              <w:lang w:val="en-GB" w:eastAsia="en-GB"/>
            </w:rPr>
          </w:pPr>
          <w:hyperlink w:anchor="_Toc113354902" w:history="1">
            <w:r w:rsidRPr="00A6124D">
              <w:rPr>
                <w:rStyle w:val="Hyperlink"/>
                <w:rFonts w:ascii="Tw Cen MT" w:hAnsi="Tw Cen MT"/>
                <w:b/>
                <w:bCs/>
                <w:i/>
                <w:iCs/>
                <w:noProof/>
                <w:lang w:val="en-GB"/>
              </w:rPr>
              <w:t>Safely Responding to Incident Disclosures</w:t>
            </w:r>
            <w:r>
              <w:rPr>
                <w:noProof/>
                <w:webHidden/>
              </w:rPr>
              <w:tab/>
            </w:r>
            <w:r>
              <w:rPr>
                <w:noProof/>
                <w:webHidden/>
              </w:rPr>
              <w:fldChar w:fldCharType="begin"/>
            </w:r>
            <w:r>
              <w:rPr>
                <w:noProof/>
                <w:webHidden/>
              </w:rPr>
              <w:instrText xml:space="preserve"> PAGEREF _Toc113354902 \h </w:instrText>
            </w:r>
            <w:r>
              <w:rPr>
                <w:noProof/>
                <w:webHidden/>
              </w:rPr>
            </w:r>
            <w:r>
              <w:rPr>
                <w:noProof/>
                <w:webHidden/>
              </w:rPr>
              <w:fldChar w:fldCharType="separate"/>
            </w:r>
            <w:r>
              <w:rPr>
                <w:noProof/>
                <w:webHidden/>
              </w:rPr>
              <w:t>2</w:t>
            </w:r>
            <w:r>
              <w:rPr>
                <w:noProof/>
                <w:webHidden/>
              </w:rPr>
              <w:fldChar w:fldCharType="end"/>
            </w:r>
          </w:hyperlink>
        </w:p>
        <w:p w14:paraId="0D48EC2F" w14:textId="072F64C3" w:rsidR="00791445" w:rsidRDefault="00791445" w:rsidP="00791445">
          <w:pPr>
            <w:pStyle w:val="TOC2"/>
            <w:tabs>
              <w:tab w:val="right" w:leader="dot" w:pos="9062"/>
            </w:tabs>
            <w:spacing w:after="120" w:line="240" w:lineRule="auto"/>
            <w:rPr>
              <w:rFonts w:eastAsiaTheme="minorEastAsia"/>
              <w:noProof/>
              <w:lang w:val="en-GB" w:eastAsia="en-GB"/>
            </w:rPr>
          </w:pPr>
          <w:hyperlink w:anchor="_Toc113354903" w:history="1">
            <w:r w:rsidRPr="00A6124D">
              <w:rPr>
                <w:rStyle w:val="Hyperlink"/>
                <w:rFonts w:ascii="Tw Cen MT" w:hAnsi="Tw Cen MT"/>
                <w:i/>
                <w:iCs/>
                <w:noProof/>
                <w:lang w:val="en-GB"/>
              </w:rPr>
              <w:t>What to keep in mind when designing Key Informant Interviews for GBV?</w:t>
            </w:r>
            <w:r>
              <w:rPr>
                <w:noProof/>
                <w:webHidden/>
              </w:rPr>
              <w:tab/>
            </w:r>
            <w:r>
              <w:rPr>
                <w:noProof/>
                <w:webHidden/>
              </w:rPr>
              <w:fldChar w:fldCharType="begin"/>
            </w:r>
            <w:r>
              <w:rPr>
                <w:noProof/>
                <w:webHidden/>
              </w:rPr>
              <w:instrText xml:space="preserve"> PAGEREF _Toc113354903 \h </w:instrText>
            </w:r>
            <w:r>
              <w:rPr>
                <w:noProof/>
                <w:webHidden/>
              </w:rPr>
            </w:r>
            <w:r>
              <w:rPr>
                <w:noProof/>
                <w:webHidden/>
              </w:rPr>
              <w:fldChar w:fldCharType="separate"/>
            </w:r>
            <w:r>
              <w:rPr>
                <w:noProof/>
                <w:webHidden/>
              </w:rPr>
              <w:t>3</w:t>
            </w:r>
            <w:r>
              <w:rPr>
                <w:noProof/>
                <w:webHidden/>
              </w:rPr>
              <w:fldChar w:fldCharType="end"/>
            </w:r>
          </w:hyperlink>
        </w:p>
        <w:p w14:paraId="419981D1" w14:textId="4E65EB48" w:rsidR="00791445" w:rsidRDefault="00791445" w:rsidP="00791445">
          <w:pPr>
            <w:pStyle w:val="TOC1"/>
            <w:rPr>
              <w:rFonts w:eastAsiaTheme="minorEastAsia"/>
              <w:noProof/>
              <w:lang w:val="en-GB" w:eastAsia="en-GB"/>
            </w:rPr>
          </w:pPr>
          <w:hyperlink w:anchor="_Toc113354904" w:history="1">
            <w:r w:rsidRPr="00A6124D">
              <w:rPr>
                <w:rStyle w:val="Hyperlink"/>
                <w:rFonts w:ascii="Tw Cen MT" w:hAnsi="Tw Cen MT"/>
                <w:i/>
                <w:iCs/>
                <w:noProof/>
                <w:lang w:val="en-GB"/>
              </w:rPr>
              <w:t>5.</w:t>
            </w:r>
            <w:r>
              <w:rPr>
                <w:rFonts w:eastAsiaTheme="minorEastAsia"/>
                <w:noProof/>
                <w:lang w:val="en-GB" w:eastAsia="en-GB"/>
              </w:rPr>
              <w:tab/>
            </w:r>
            <w:r w:rsidRPr="00A6124D">
              <w:rPr>
                <w:rStyle w:val="Hyperlink"/>
                <w:rFonts w:ascii="Tw Cen MT" w:hAnsi="Tw Cen MT"/>
                <w:i/>
                <w:iCs/>
                <w:noProof/>
                <w:lang w:val="en-GB"/>
              </w:rPr>
              <w:t>What is the DTM Field Companion for GBV?</w:t>
            </w:r>
            <w:r>
              <w:rPr>
                <w:noProof/>
                <w:webHidden/>
              </w:rPr>
              <w:tab/>
            </w:r>
            <w:r>
              <w:rPr>
                <w:noProof/>
                <w:webHidden/>
              </w:rPr>
              <w:fldChar w:fldCharType="begin"/>
            </w:r>
            <w:r>
              <w:rPr>
                <w:noProof/>
                <w:webHidden/>
              </w:rPr>
              <w:instrText xml:space="preserve"> PAGEREF _Toc113354904 \h </w:instrText>
            </w:r>
            <w:r>
              <w:rPr>
                <w:noProof/>
                <w:webHidden/>
              </w:rPr>
            </w:r>
            <w:r>
              <w:rPr>
                <w:noProof/>
                <w:webHidden/>
              </w:rPr>
              <w:fldChar w:fldCharType="separate"/>
            </w:r>
            <w:r>
              <w:rPr>
                <w:noProof/>
                <w:webHidden/>
              </w:rPr>
              <w:t>3</w:t>
            </w:r>
            <w:r>
              <w:rPr>
                <w:noProof/>
                <w:webHidden/>
              </w:rPr>
              <w:fldChar w:fldCharType="end"/>
            </w:r>
          </w:hyperlink>
        </w:p>
        <w:p w14:paraId="3916185A" w14:textId="11E6ED31" w:rsidR="00791445" w:rsidRDefault="00791445" w:rsidP="00791445">
          <w:pPr>
            <w:pStyle w:val="TOC2"/>
            <w:tabs>
              <w:tab w:val="right" w:leader="dot" w:pos="9062"/>
            </w:tabs>
            <w:spacing w:after="120" w:line="240" w:lineRule="auto"/>
            <w:rPr>
              <w:rFonts w:eastAsiaTheme="minorEastAsia"/>
              <w:noProof/>
              <w:lang w:val="en-GB" w:eastAsia="en-GB"/>
            </w:rPr>
          </w:pPr>
          <w:hyperlink w:anchor="_Toc113354905" w:history="1">
            <w:r w:rsidRPr="00A6124D">
              <w:rPr>
                <w:rStyle w:val="Hyperlink"/>
                <w:rFonts w:ascii="Tw Cen MT" w:hAnsi="Tw Cen MT"/>
                <w:i/>
                <w:iCs/>
                <w:noProof/>
                <w:lang w:val="en-GB"/>
              </w:rPr>
              <w:t>What types of questions are in the DTM Field Companion for GBV?</w:t>
            </w:r>
            <w:r>
              <w:rPr>
                <w:noProof/>
                <w:webHidden/>
              </w:rPr>
              <w:tab/>
            </w:r>
            <w:r>
              <w:rPr>
                <w:noProof/>
                <w:webHidden/>
              </w:rPr>
              <w:fldChar w:fldCharType="begin"/>
            </w:r>
            <w:r>
              <w:rPr>
                <w:noProof/>
                <w:webHidden/>
              </w:rPr>
              <w:instrText xml:space="preserve"> PAGEREF _Toc113354905 \h </w:instrText>
            </w:r>
            <w:r>
              <w:rPr>
                <w:noProof/>
                <w:webHidden/>
              </w:rPr>
            </w:r>
            <w:r>
              <w:rPr>
                <w:noProof/>
                <w:webHidden/>
              </w:rPr>
              <w:fldChar w:fldCharType="separate"/>
            </w:r>
            <w:r>
              <w:rPr>
                <w:noProof/>
                <w:webHidden/>
              </w:rPr>
              <w:t>3</w:t>
            </w:r>
            <w:r>
              <w:rPr>
                <w:noProof/>
                <w:webHidden/>
              </w:rPr>
              <w:fldChar w:fldCharType="end"/>
            </w:r>
          </w:hyperlink>
        </w:p>
        <w:p w14:paraId="1FB0FDFA" w14:textId="4133AB45" w:rsidR="00791445" w:rsidRDefault="00791445" w:rsidP="00791445">
          <w:pPr>
            <w:pStyle w:val="TOC1"/>
            <w:rPr>
              <w:rFonts w:eastAsiaTheme="minorEastAsia"/>
              <w:noProof/>
              <w:lang w:val="en-GB" w:eastAsia="en-GB"/>
            </w:rPr>
          </w:pPr>
          <w:hyperlink w:anchor="_Toc113354906" w:history="1">
            <w:r w:rsidRPr="00A6124D">
              <w:rPr>
                <w:rStyle w:val="Hyperlink"/>
                <w:rFonts w:ascii="Tw Cen MT" w:hAnsi="Tw Cen MT"/>
                <w:i/>
                <w:iCs/>
                <w:noProof/>
                <w:lang w:val="en-GB"/>
              </w:rPr>
              <w:t>6.</w:t>
            </w:r>
            <w:r>
              <w:rPr>
                <w:rFonts w:eastAsiaTheme="minorEastAsia"/>
                <w:noProof/>
                <w:lang w:val="en-GB" w:eastAsia="en-GB"/>
              </w:rPr>
              <w:tab/>
            </w:r>
            <w:r w:rsidRPr="00A6124D">
              <w:rPr>
                <w:rStyle w:val="Hyperlink"/>
                <w:rFonts w:ascii="Tw Cen MT" w:hAnsi="Tw Cen MT"/>
                <w:i/>
                <w:iCs/>
                <w:noProof/>
                <w:lang w:val="en-GB"/>
              </w:rPr>
              <w:t>What should I NOT include?</w:t>
            </w:r>
            <w:r>
              <w:rPr>
                <w:noProof/>
                <w:webHidden/>
              </w:rPr>
              <w:tab/>
            </w:r>
            <w:r>
              <w:rPr>
                <w:noProof/>
                <w:webHidden/>
              </w:rPr>
              <w:fldChar w:fldCharType="begin"/>
            </w:r>
            <w:r>
              <w:rPr>
                <w:noProof/>
                <w:webHidden/>
              </w:rPr>
              <w:instrText xml:space="preserve"> PAGEREF _Toc113354906 \h </w:instrText>
            </w:r>
            <w:r>
              <w:rPr>
                <w:noProof/>
                <w:webHidden/>
              </w:rPr>
            </w:r>
            <w:r>
              <w:rPr>
                <w:noProof/>
                <w:webHidden/>
              </w:rPr>
              <w:fldChar w:fldCharType="separate"/>
            </w:r>
            <w:r>
              <w:rPr>
                <w:noProof/>
                <w:webHidden/>
              </w:rPr>
              <w:t>4</w:t>
            </w:r>
            <w:r>
              <w:rPr>
                <w:noProof/>
                <w:webHidden/>
              </w:rPr>
              <w:fldChar w:fldCharType="end"/>
            </w:r>
          </w:hyperlink>
        </w:p>
        <w:p w14:paraId="640C2C05" w14:textId="3E0CEB88" w:rsidR="00791445" w:rsidRDefault="00791445" w:rsidP="00791445">
          <w:pPr>
            <w:pStyle w:val="TOC1"/>
            <w:rPr>
              <w:rFonts w:eastAsiaTheme="minorEastAsia"/>
              <w:noProof/>
              <w:lang w:val="en-GB" w:eastAsia="en-GB"/>
            </w:rPr>
          </w:pPr>
          <w:hyperlink w:anchor="_Toc113354907" w:history="1">
            <w:r w:rsidRPr="00A6124D">
              <w:rPr>
                <w:rStyle w:val="Hyperlink"/>
                <w:rFonts w:ascii="Tw Cen MT" w:hAnsi="Tw Cen MT"/>
                <w:i/>
                <w:iCs/>
                <w:noProof/>
                <w:lang w:val="en-GB"/>
              </w:rPr>
              <w:t>7.</w:t>
            </w:r>
            <w:r>
              <w:rPr>
                <w:rFonts w:eastAsiaTheme="minorEastAsia"/>
                <w:noProof/>
                <w:lang w:val="en-GB" w:eastAsia="en-GB"/>
              </w:rPr>
              <w:tab/>
            </w:r>
            <w:r w:rsidRPr="00A6124D">
              <w:rPr>
                <w:rStyle w:val="Hyperlink"/>
                <w:rFonts w:ascii="Tw Cen MT" w:hAnsi="Tw Cen MT"/>
                <w:i/>
                <w:iCs/>
                <w:noProof/>
                <w:lang w:val="en-GB"/>
              </w:rPr>
              <w:t>Summary</w:t>
            </w:r>
            <w:r>
              <w:rPr>
                <w:noProof/>
                <w:webHidden/>
              </w:rPr>
              <w:tab/>
            </w:r>
            <w:r>
              <w:rPr>
                <w:noProof/>
                <w:webHidden/>
              </w:rPr>
              <w:fldChar w:fldCharType="begin"/>
            </w:r>
            <w:r>
              <w:rPr>
                <w:noProof/>
                <w:webHidden/>
              </w:rPr>
              <w:instrText xml:space="preserve"> PAGEREF _Toc113354907 \h </w:instrText>
            </w:r>
            <w:r>
              <w:rPr>
                <w:noProof/>
                <w:webHidden/>
              </w:rPr>
            </w:r>
            <w:r>
              <w:rPr>
                <w:noProof/>
                <w:webHidden/>
              </w:rPr>
              <w:fldChar w:fldCharType="separate"/>
            </w:r>
            <w:r>
              <w:rPr>
                <w:noProof/>
                <w:webHidden/>
              </w:rPr>
              <w:t>4</w:t>
            </w:r>
            <w:r>
              <w:rPr>
                <w:noProof/>
                <w:webHidden/>
              </w:rPr>
              <w:fldChar w:fldCharType="end"/>
            </w:r>
          </w:hyperlink>
        </w:p>
        <w:p w14:paraId="41AF6DB2" w14:textId="4201B19B" w:rsidR="009F1D47" w:rsidRDefault="009F1D47" w:rsidP="00791445">
          <w:pPr>
            <w:spacing w:after="120" w:line="240" w:lineRule="auto"/>
          </w:pPr>
          <w:r>
            <w:rPr>
              <w:b/>
              <w:bCs/>
              <w:noProof/>
            </w:rPr>
            <w:fldChar w:fldCharType="end"/>
          </w:r>
        </w:p>
      </w:sdtContent>
    </w:sdt>
    <w:p w14:paraId="7E8CDBDC" w14:textId="36EB1B2E" w:rsidR="00354F50" w:rsidRPr="00F472D3" w:rsidRDefault="00B45A0D" w:rsidP="00F472D3">
      <w:pPr>
        <w:pStyle w:val="Heading1"/>
        <w:numPr>
          <w:ilvl w:val="0"/>
          <w:numId w:val="25"/>
        </w:numPr>
        <w:spacing w:before="0" w:line="240" w:lineRule="auto"/>
        <w:ind w:left="714" w:hanging="357"/>
        <w:rPr>
          <w:rFonts w:ascii="Tw Cen MT" w:hAnsi="Tw Cen MT"/>
          <w:i/>
          <w:iCs/>
          <w:color w:val="auto"/>
          <w:sz w:val="28"/>
          <w:szCs w:val="28"/>
          <w:u w:val="single"/>
          <w:lang w:val="en-GB"/>
        </w:rPr>
      </w:pPr>
      <w:bookmarkStart w:id="0" w:name="_Toc113354896"/>
      <w:r w:rsidRPr="00F472D3">
        <w:rPr>
          <w:rFonts w:ascii="Tw Cen MT" w:hAnsi="Tw Cen MT"/>
          <w:i/>
          <w:iCs/>
          <w:color w:val="auto"/>
          <w:sz w:val="28"/>
          <w:szCs w:val="28"/>
          <w:u w:val="single"/>
          <w:lang w:val="en-GB"/>
        </w:rPr>
        <w:t>W</w:t>
      </w:r>
      <w:r w:rsidR="00354F50" w:rsidRPr="00F472D3">
        <w:rPr>
          <w:rFonts w:ascii="Tw Cen MT" w:hAnsi="Tw Cen MT"/>
          <w:i/>
          <w:iCs/>
          <w:color w:val="auto"/>
          <w:sz w:val="28"/>
          <w:szCs w:val="28"/>
          <w:u w:val="single"/>
          <w:lang w:val="en-GB"/>
        </w:rPr>
        <w:t xml:space="preserve">hat is </w:t>
      </w:r>
      <w:r w:rsidR="0001540A" w:rsidRPr="00F472D3">
        <w:rPr>
          <w:rFonts w:ascii="Tw Cen MT" w:hAnsi="Tw Cen MT"/>
          <w:i/>
          <w:iCs/>
          <w:color w:val="auto"/>
          <w:sz w:val="28"/>
          <w:szCs w:val="28"/>
          <w:u w:val="single"/>
          <w:lang w:val="en-GB"/>
        </w:rPr>
        <w:t>the Displacement Tracking Matrix?</w:t>
      </w:r>
      <w:bookmarkEnd w:id="0"/>
    </w:p>
    <w:p w14:paraId="7CDB8FAA" w14:textId="12356E8E" w:rsidR="00354F50" w:rsidRPr="00C23923" w:rsidRDefault="00354F50" w:rsidP="0001540A">
      <w:pPr>
        <w:pStyle w:val="NoSpacing"/>
        <w:jc w:val="both"/>
        <w:rPr>
          <w:rFonts w:ascii="Tw Cen MT" w:hAnsi="Tw Cen MT" w:cstheme="majorHAnsi"/>
          <w:sz w:val="20"/>
          <w:szCs w:val="20"/>
          <w:lang w:val="en-GB"/>
        </w:rPr>
      </w:pPr>
      <w:r w:rsidRPr="00C23923">
        <w:rPr>
          <w:rFonts w:ascii="Tw Cen MT" w:hAnsi="Tw Cen MT" w:cstheme="majorHAnsi"/>
          <w:sz w:val="20"/>
          <w:szCs w:val="20"/>
          <w:lang w:val="en-GB"/>
        </w:rPr>
        <w:t>The displacement tracking matrix (DTM), is a</w:t>
      </w:r>
      <w:r w:rsidR="0035746E" w:rsidRPr="00C23923">
        <w:rPr>
          <w:rFonts w:ascii="Tw Cen MT" w:hAnsi="Tw Cen MT" w:cstheme="majorHAnsi"/>
          <w:sz w:val="20"/>
          <w:szCs w:val="20"/>
          <w:lang w:val="en-GB"/>
        </w:rPr>
        <w:t xml:space="preserve"> set of</w:t>
      </w:r>
      <w:r w:rsidRPr="00C23923">
        <w:rPr>
          <w:rFonts w:ascii="Tw Cen MT" w:hAnsi="Tw Cen MT" w:cstheme="majorHAnsi"/>
          <w:sz w:val="20"/>
          <w:szCs w:val="20"/>
          <w:lang w:val="en-GB"/>
        </w:rPr>
        <w:t xml:space="preserve"> assessment </w:t>
      </w:r>
      <w:r w:rsidR="0035746E" w:rsidRPr="00C23923">
        <w:rPr>
          <w:rFonts w:ascii="Tw Cen MT" w:hAnsi="Tw Cen MT" w:cstheme="majorHAnsi"/>
          <w:sz w:val="20"/>
          <w:szCs w:val="20"/>
          <w:lang w:val="en-GB"/>
        </w:rPr>
        <w:t xml:space="preserve">and population movement tracking </w:t>
      </w:r>
      <w:r w:rsidRPr="00C23923">
        <w:rPr>
          <w:rFonts w:ascii="Tw Cen MT" w:hAnsi="Tw Cen MT" w:cstheme="majorHAnsi"/>
          <w:sz w:val="20"/>
          <w:szCs w:val="20"/>
          <w:lang w:val="en-GB"/>
        </w:rPr>
        <w:t>tool</w:t>
      </w:r>
      <w:r w:rsidR="0035746E" w:rsidRPr="00C23923">
        <w:rPr>
          <w:rFonts w:ascii="Tw Cen MT" w:hAnsi="Tw Cen MT" w:cstheme="majorHAnsi"/>
          <w:sz w:val="20"/>
          <w:szCs w:val="20"/>
          <w:lang w:val="en-GB"/>
        </w:rPr>
        <w:t>s</w:t>
      </w:r>
      <w:r w:rsidRPr="00C23923">
        <w:rPr>
          <w:rFonts w:ascii="Tw Cen MT" w:hAnsi="Tw Cen MT" w:cstheme="majorHAnsi"/>
          <w:sz w:val="20"/>
          <w:szCs w:val="20"/>
          <w:lang w:val="en-GB"/>
        </w:rPr>
        <w:t xml:space="preserve"> developed by IOM. </w:t>
      </w:r>
      <w:r w:rsidR="0035746E" w:rsidRPr="00C23923">
        <w:rPr>
          <w:rFonts w:ascii="Tw Cen MT" w:hAnsi="Tw Cen MT" w:cstheme="majorHAnsi"/>
          <w:sz w:val="20"/>
          <w:szCs w:val="20"/>
          <w:lang w:val="en-GB"/>
        </w:rPr>
        <w:t xml:space="preserve">Some of the tools </w:t>
      </w:r>
      <w:r w:rsidRPr="00C23923">
        <w:rPr>
          <w:rFonts w:ascii="Tw Cen MT" w:hAnsi="Tw Cen MT" w:cstheme="majorHAnsi"/>
          <w:sz w:val="20"/>
          <w:szCs w:val="20"/>
          <w:lang w:val="en-GB"/>
        </w:rPr>
        <w:t>that can be implemented in a displacement context</w:t>
      </w:r>
      <w:r w:rsidR="0035746E" w:rsidRPr="00C23923">
        <w:rPr>
          <w:rFonts w:ascii="Tw Cen MT" w:hAnsi="Tw Cen MT" w:cstheme="majorHAnsi"/>
          <w:sz w:val="20"/>
          <w:szCs w:val="20"/>
          <w:lang w:val="en-GB"/>
        </w:rPr>
        <w:t xml:space="preserve"> are</w:t>
      </w:r>
      <w:r w:rsidRPr="00C23923">
        <w:rPr>
          <w:rFonts w:ascii="Tw Cen MT" w:hAnsi="Tw Cen MT" w:cstheme="majorHAnsi"/>
          <w:sz w:val="20"/>
          <w:szCs w:val="20"/>
          <w:lang w:val="en-GB"/>
        </w:rPr>
        <w:t xml:space="preserve"> mobility tracking, flow monitoring,</w:t>
      </w:r>
      <w:r w:rsidR="0001540A" w:rsidRPr="00C23923">
        <w:rPr>
          <w:rFonts w:ascii="Tw Cen MT" w:hAnsi="Tw Cen MT" w:cstheme="majorHAnsi"/>
          <w:sz w:val="20"/>
          <w:szCs w:val="20"/>
          <w:lang w:val="en-GB"/>
        </w:rPr>
        <w:t xml:space="preserve"> surveys, and registration. Capturing a population’s mobility, flows, and needs, provides useful information that can aid decision</w:t>
      </w:r>
      <w:r w:rsidR="00BF5954" w:rsidRPr="00C23923">
        <w:rPr>
          <w:rFonts w:ascii="Tw Cen MT" w:hAnsi="Tw Cen MT" w:cstheme="majorHAnsi"/>
          <w:sz w:val="20"/>
          <w:szCs w:val="20"/>
          <w:lang w:val="en-GB"/>
        </w:rPr>
        <w:t>-</w:t>
      </w:r>
      <w:r w:rsidR="0001540A" w:rsidRPr="00C23923">
        <w:rPr>
          <w:rFonts w:ascii="Tw Cen MT" w:hAnsi="Tw Cen MT" w:cstheme="majorHAnsi"/>
          <w:sz w:val="20"/>
          <w:szCs w:val="20"/>
          <w:lang w:val="en-GB"/>
        </w:rPr>
        <w:t>makers.</w:t>
      </w:r>
      <w:r w:rsidR="0035746E" w:rsidRPr="00C23923">
        <w:rPr>
          <w:rFonts w:ascii="Tw Cen MT" w:hAnsi="Tw Cen MT" w:cstheme="majorHAnsi"/>
          <w:sz w:val="20"/>
          <w:szCs w:val="20"/>
          <w:lang w:val="en-GB"/>
        </w:rPr>
        <w:t xml:space="preserve"> This guidance refers specifically to the DTM Multisectoral Location Assessment</w:t>
      </w:r>
      <w:r w:rsidR="00DB7B02" w:rsidRPr="00C23923">
        <w:rPr>
          <w:rFonts w:ascii="Tw Cen MT" w:hAnsi="Tw Cen MT" w:cstheme="majorHAnsi"/>
          <w:sz w:val="20"/>
          <w:szCs w:val="20"/>
          <w:lang w:val="en-GB"/>
        </w:rPr>
        <w:t>, a subcomponent of mobility tracking</w:t>
      </w:r>
      <w:r w:rsidR="0035746E" w:rsidRPr="00C23923">
        <w:rPr>
          <w:rFonts w:ascii="Tw Cen MT" w:hAnsi="Tw Cen MT" w:cstheme="majorHAnsi"/>
          <w:sz w:val="20"/>
          <w:szCs w:val="20"/>
          <w:lang w:val="en-GB"/>
        </w:rPr>
        <w:t>.</w:t>
      </w:r>
    </w:p>
    <w:p w14:paraId="0E2359A2" w14:textId="77777777" w:rsidR="0001540A" w:rsidRPr="00C23923" w:rsidRDefault="0001540A" w:rsidP="0001540A">
      <w:pPr>
        <w:pStyle w:val="NoSpacing"/>
        <w:jc w:val="both"/>
        <w:rPr>
          <w:rFonts w:asciiTheme="majorHAnsi" w:hAnsiTheme="majorHAnsi" w:cstheme="majorHAnsi"/>
          <w:sz w:val="20"/>
          <w:szCs w:val="20"/>
          <w:lang w:val="en-GB"/>
        </w:rPr>
      </w:pPr>
    </w:p>
    <w:p w14:paraId="7D324C7A" w14:textId="05E440EF" w:rsidR="0001540A" w:rsidRPr="00203C10" w:rsidRDefault="0001540A" w:rsidP="00203C10">
      <w:pPr>
        <w:pStyle w:val="Heading2"/>
        <w:spacing w:before="0" w:line="240" w:lineRule="auto"/>
        <w:rPr>
          <w:rFonts w:ascii="Tw Cen MT" w:hAnsi="Tw Cen MT" w:cstheme="majorHAnsi"/>
          <w:i/>
          <w:iCs/>
          <w:color w:val="auto"/>
          <w:sz w:val="24"/>
          <w:szCs w:val="24"/>
          <w:lang w:val="en-GB"/>
        </w:rPr>
      </w:pPr>
      <w:bookmarkStart w:id="1" w:name="_Toc113354897"/>
      <w:r w:rsidRPr="00203C10">
        <w:rPr>
          <w:rFonts w:ascii="Tw Cen MT" w:hAnsi="Tw Cen MT"/>
          <w:i/>
          <w:iCs/>
          <w:color w:val="auto"/>
          <w:sz w:val="24"/>
          <w:szCs w:val="24"/>
          <w:lang w:val="en-GB"/>
        </w:rPr>
        <w:t xml:space="preserve">The </w:t>
      </w:r>
      <w:r w:rsidR="00EE7342" w:rsidRPr="00203C10">
        <w:rPr>
          <w:rFonts w:ascii="Tw Cen MT" w:hAnsi="Tw Cen MT"/>
          <w:i/>
          <w:iCs/>
          <w:color w:val="auto"/>
          <w:sz w:val="24"/>
          <w:szCs w:val="24"/>
          <w:lang w:val="en-GB"/>
        </w:rPr>
        <w:t>M</w:t>
      </w:r>
      <w:r w:rsidR="00A17E5F" w:rsidRPr="00203C10">
        <w:rPr>
          <w:rFonts w:ascii="Tw Cen MT" w:hAnsi="Tw Cen MT"/>
          <w:i/>
          <w:iCs/>
          <w:color w:val="auto"/>
          <w:sz w:val="24"/>
          <w:szCs w:val="24"/>
          <w:lang w:val="en-GB"/>
        </w:rPr>
        <w:t>ulti</w:t>
      </w:r>
      <w:r w:rsidR="00EE7342" w:rsidRPr="00203C10">
        <w:rPr>
          <w:rFonts w:ascii="Tw Cen MT" w:hAnsi="Tw Cen MT"/>
          <w:i/>
          <w:iCs/>
          <w:color w:val="auto"/>
          <w:sz w:val="24"/>
          <w:szCs w:val="24"/>
          <w:lang w:val="en-GB"/>
        </w:rPr>
        <w:t xml:space="preserve"> S</w:t>
      </w:r>
      <w:r w:rsidR="00A17E5F" w:rsidRPr="00203C10">
        <w:rPr>
          <w:rFonts w:ascii="Tw Cen MT" w:hAnsi="Tw Cen MT"/>
          <w:i/>
          <w:iCs/>
          <w:color w:val="auto"/>
          <w:sz w:val="24"/>
          <w:szCs w:val="24"/>
          <w:lang w:val="en-GB"/>
        </w:rPr>
        <w:t xml:space="preserve">ectoral </w:t>
      </w:r>
      <w:r w:rsidR="00EE7342" w:rsidRPr="00203C10">
        <w:rPr>
          <w:rFonts w:ascii="Tw Cen MT" w:hAnsi="Tw Cen MT"/>
          <w:i/>
          <w:iCs/>
          <w:color w:val="auto"/>
          <w:sz w:val="24"/>
          <w:szCs w:val="24"/>
          <w:lang w:val="en-GB"/>
        </w:rPr>
        <w:t>L</w:t>
      </w:r>
      <w:r w:rsidR="00A17E5F" w:rsidRPr="00203C10">
        <w:rPr>
          <w:rFonts w:ascii="Tw Cen MT" w:hAnsi="Tw Cen MT"/>
          <w:i/>
          <w:iCs/>
          <w:color w:val="auto"/>
          <w:sz w:val="24"/>
          <w:szCs w:val="24"/>
          <w:lang w:val="en-GB"/>
        </w:rPr>
        <w:t xml:space="preserve">ocation </w:t>
      </w:r>
      <w:r w:rsidR="00EE7342" w:rsidRPr="00203C10">
        <w:rPr>
          <w:rFonts w:ascii="Tw Cen MT" w:hAnsi="Tw Cen MT"/>
          <w:i/>
          <w:iCs/>
          <w:color w:val="auto"/>
          <w:sz w:val="24"/>
          <w:szCs w:val="24"/>
          <w:lang w:val="en-GB"/>
        </w:rPr>
        <w:t>A</w:t>
      </w:r>
      <w:r w:rsidR="00A17E5F" w:rsidRPr="00203C10">
        <w:rPr>
          <w:rFonts w:ascii="Tw Cen MT" w:hAnsi="Tw Cen MT"/>
          <w:i/>
          <w:iCs/>
          <w:color w:val="auto"/>
          <w:sz w:val="24"/>
          <w:szCs w:val="24"/>
          <w:lang w:val="en-GB"/>
        </w:rPr>
        <w:t>ssessment</w:t>
      </w:r>
      <w:r w:rsidR="00EE7342" w:rsidRPr="00203C10">
        <w:rPr>
          <w:rFonts w:ascii="Tw Cen MT" w:hAnsi="Tw Cen MT"/>
          <w:i/>
          <w:iCs/>
          <w:color w:val="auto"/>
          <w:sz w:val="24"/>
          <w:szCs w:val="24"/>
          <w:lang w:val="en-GB"/>
        </w:rPr>
        <w:t xml:space="preserve"> (MSLA)</w:t>
      </w:r>
      <w:bookmarkEnd w:id="1"/>
    </w:p>
    <w:p w14:paraId="0DACE01B" w14:textId="22F121C4" w:rsidR="00235660" w:rsidRPr="00C23923" w:rsidRDefault="0001540A" w:rsidP="0001540A">
      <w:pPr>
        <w:pStyle w:val="NoSpacing"/>
        <w:jc w:val="both"/>
        <w:rPr>
          <w:rFonts w:ascii="Tw Cen MT" w:hAnsi="Tw Cen MT" w:cstheme="majorHAnsi"/>
          <w:sz w:val="20"/>
          <w:szCs w:val="20"/>
          <w:lang w:val="en-GB"/>
        </w:rPr>
      </w:pPr>
      <w:r w:rsidRPr="00C23923">
        <w:rPr>
          <w:rFonts w:ascii="Tw Cen MT" w:hAnsi="Tw Cen MT" w:cstheme="majorHAnsi"/>
          <w:sz w:val="20"/>
          <w:szCs w:val="20"/>
          <w:lang w:val="en-GB"/>
        </w:rPr>
        <w:t xml:space="preserve">The </w:t>
      </w:r>
      <w:r w:rsidR="009F34B2" w:rsidRPr="00C23923">
        <w:rPr>
          <w:rFonts w:ascii="Tw Cen MT" w:hAnsi="Tw Cen MT" w:cstheme="majorHAnsi"/>
          <w:sz w:val="20"/>
          <w:szCs w:val="20"/>
          <w:lang w:val="en-GB"/>
        </w:rPr>
        <w:t>multisectoral location</w:t>
      </w:r>
      <w:r w:rsidRPr="00C23923">
        <w:rPr>
          <w:rFonts w:ascii="Tw Cen MT" w:hAnsi="Tw Cen MT" w:cstheme="majorHAnsi"/>
          <w:sz w:val="20"/>
          <w:szCs w:val="20"/>
          <w:lang w:val="en-GB"/>
        </w:rPr>
        <w:t xml:space="preserve"> assessment</w:t>
      </w:r>
      <w:r w:rsidR="00DB7B02" w:rsidRPr="00C23923">
        <w:rPr>
          <w:rFonts w:ascii="Tw Cen MT" w:hAnsi="Tw Cen MT" w:cstheme="majorHAnsi"/>
          <w:sz w:val="20"/>
          <w:szCs w:val="20"/>
          <w:lang w:val="en-GB"/>
        </w:rPr>
        <w:t xml:space="preserve"> (MSLA)</w:t>
      </w:r>
      <w:r w:rsidRPr="00C23923">
        <w:rPr>
          <w:rFonts w:ascii="Tw Cen MT" w:hAnsi="Tw Cen MT" w:cstheme="majorHAnsi"/>
          <w:sz w:val="20"/>
          <w:szCs w:val="20"/>
          <w:lang w:val="en-GB"/>
        </w:rPr>
        <w:t xml:space="preserve"> is</w:t>
      </w:r>
      <w:r w:rsidR="0035746E" w:rsidRPr="00C23923">
        <w:rPr>
          <w:rFonts w:ascii="Tw Cen MT" w:hAnsi="Tw Cen MT" w:cstheme="majorHAnsi"/>
          <w:sz w:val="20"/>
          <w:szCs w:val="20"/>
          <w:lang w:val="en-GB"/>
        </w:rPr>
        <w:t xml:space="preserve"> one of the various DTM tools</w:t>
      </w:r>
      <w:r w:rsidRPr="00C23923">
        <w:rPr>
          <w:rFonts w:ascii="Tw Cen MT" w:hAnsi="Tw Cen MT" w:cstheme="majorHAnsi"/>
          <w:sz w:val="20"/>
          <w:szCs w:val="20"/>
          <w:lang w:val="en-GB"/>
        </w:rPr>
        <w:t xml:space="preserve"> a</w:t>
      </w:r>
      <w:r w:rsidR="009F34B2" w:rsidRPr="00C23923">
        <w:rPr>
          <w:rFonts w:ascii="Tw Cen MT" w:hAnsi="Tw Cen MT" w:cstheme="majorHAnsi"/>
          <w:sz w:val="20"/>
          <w:szCs w:val="20"/>
          <w:lang w:val="en-GB"/>
        </w:rPr>
        <w:t xml:space="preserve">nd </w:t>
      </w:r>
      <w:r w:rsidR="00DB7B02" w:rsidRPr="00C23923">
        <w:rPr>
          <w:rFonts w:ascii="Tw Cen MT" w:hAnsi="Tw Cen MT" w:cstheme="majorHAnsi"/>
          <w:sz w:val="20"/>
          <w:szCs w:val="20"/>
          <w:lang w:val="en-GB"/>
        </w:rPr>
        <w:t xml:space="preserve">includes </w:t>
      </w:r>
      <w:r w:rsidR="009F34B2" w:rsidRPr="00C23923">
        <w:rPr>
          <w:rFonts w:ascii="Tw Cen MT" w:hAnsi="Tw Cen MT" w:cstheme="majorHAnsi"/>
          <w:sz w:val="20"/>
          <w:szCs w:val="20"/>
          <w:lang w:val="en-GB"/>
        </w:rPr>
        <w:t xml:space="preserve">a </w:t>
      </w:r>
      <w:r w:rsidR="00DB7B02" w:rsidRPr="00C23923">
        <w:rPr>
          <w:rFonts w:ascii="Tw Cen MT" w:hAnsi="Tw Cen MT" w:cstheme="majorHAnsi"/>
          <w:sz w:val="20"/>
          <w:szCs w:val="20"/>
          <w:lang w:val="en-GB"/>
        </w:rPr>
        <w:t xml:space="preserve">closed </w:t>
      </w:r>
      <w:r w:rsidRPr="00C23923">
        <w:rPr>
          <w:rFonts w:ascii="Tw Cen MT" w:hAnsi="Tw Cen MT" w:cstheme="majorHAnsi"/>
          <w:sz w:val="20"/>
          <w:szCs w:val="20"/>
          <w:lang w:val="en-GB"/>
        </w:rPr>
        <w:t xml:space="preserve">questionnaire that aims to capture the </w:t>
      </w:r>
      <w:r w:rsidR="00DB7B02" w:rsidRPr="00C23923">
        <w:rPr>
          <w:rFonts w:ascii="Tw Cen MT" w:hAnsi="Tw Cen MT" w:cstheme="majorHAnsi"/>
          <w:sz w:val="20"/>
          <w:szCs w:val="20"/>
          <w:lang w:val="en-GB"/>
        </w:rPr>
        <w:t xml:space="preserve">numbers and </w:t>
      </w:r>
      <w:r w:rsidRPr="00C23923">
        <w:rPr>
          <w:rFonts w:ascii="Tw Cen MT" w:hAnsi="Tw Cen MT" w:cstheme="majorHAnsi"/>
          <w:sz w:val="20"/>
          <w:szCs w:val="20"/>
          <w:lang w:val="en-GB"/>
        </w:rPr>
        <w:t>needs of the affected population.</w:t>
      </w:r>
      <w:r w:rsidR="005B2713">
        <w:rPr>
          <w:rFonts w:ascii="Tw Cen MT" w:hAnsi="Tw Cen MT" w:cstheme="majorHAnsi"/>
          <w:sz w:val="20"/>
          <w:szCs w:val="20"/>
          <w:lang w:val="en-GB"/>
        </w:rPr>
        <w:t xml:space="preserve"> </w:t>
      </w:r>
      <w:r w:rsidR="005B2713" w:rsidRPr="00C23923">
        <w:rPr>
          <w:rFonts w:ascii="Tw Cen MT" w:hAnsi="Tw Cen MT" w:cstheme="majorHAnsi"/>
          <w:sz w:val="20"/>
          <w:szCs w:val="20"/>
          <w:lang w:val="en-GB"/>
        </w:rPr>
        <w:t xml:space="preserve">In addition, it is implemented frequently, sometimes even on a monthly basis. This means you can monitor the data overtime to look for changes and can rely on regular data collection. </w:t>
      </w:r>
      <w:r w:rsidR="005B2713">
        <w:rPr>
          <w:rFonts w:ascii="Tw Cen MT" w:hAnsi="Tw Cen MT" w:cstheme="majorHAnsi"/>
          <w:sz w:val="20"/>
          <w:szCs w:val="20"/>
          <w:lang w:val="en-GB"/>
        </w:rPr>
        <w:t xml:space="preserve">The DTM MSLA usually covers all or close to all locations impacted by the crisis, thus allowing for comparison between location and at different points in time. </w:t>
      </w:r>
      <w:r w:rsidR="00600FAA">
        <w:rPr>
          <w:rFonts w:ascii="Tw Cen MT" w:hAnsi="Tw Cen MT" w:cstheme="majorHAnsi"/>
          <w:sz w:val="20"/>
          <w:szCs w:val="20"/>
          <w:lang w:val="en-GB"/>
        </w:rPr>
        <w:t>DTM MSLA</w:t>
      </w:r>
      <w:r w:rsidR="00235660" w:rsidRPr="00C23923">
        <w:rPr>
          <w:rFonts w:ascii="Tw Cen MT" w:hAnsi="Tw Cen MT" w:cstheme="majorHAnsi"/>
          <w:sz w:val="20"/>
          <w:szCs w:val="20"/>
          <w:lang w:val="en-GB"/>
        </w:rPr>
        <w:t xml:space="preserve"> results come out quick</w:t>
      </w:r>
      <w:r w:rsidR="00BF5954" w:rsidRPr="00C23923">
        <w:rPr>
          <w:rFonts w:ascii="Tw Cen MT" w:hAnsi="Tw Cen MT" w:cstheme="majorHAnsi"/>
          <w:sz w:val="20"/>
          <w:szCs w:val="20"/>
          <w:lang w:val="en-GB"/>
        </w:rPr>
        <w:t>ly</w:t>
      </w:r>
      <w:r w:rsidR="005B2713">
        <w:rPr>
          <w:rFonts w:ascii="Tw Cen MT" w:hAnsi="Tw Cen MT" w:cstheme="majorHAnsi"/>
          <w:sz w:val="20"/>
          <w:szCs w:val="20"/>
          <w:lang w:val="en-GB"/>
        </w:rPr>
        <w:t xml:space="preserve"> and are available online</w:t>
      </w:r>
      <w:r w:rsidR="005B2713">
        <w:rPr>
          <w:rStyle w:val="FootnoteReference"/>
          <w:rFonts w:ascii="Tw Cen MT" w:hAnsi="Tw Cen MT" w:cstheme="majorHAnsi"/>
          <w:sz w:val="20"/>
          <w:szCs w:val="20"/>
          <w:lang w:val="en-GB"/>
        </w:rPr>
        <w:footnoteReference w:id="1"/>
      </w:r>
      <w:r w:rsidR="00235660" w:rsidRPr="00C23923">
        <w:rPr>
          <w:rFonts w:ascii="Tw Cen MT" w:hAnsi="Tw Cen MT" w:cstheme="majorHAnsi"/>
          <w:sz w:val="20"/>
          <w:szCs w:val="20"/>
          <w:lang w:val="en-GB"/>
        </w:rPr>
        <w:t xml:space="preserve">. However, </w:t>
      </w:r>
      <w:r w:rsidR="00235660" w:rsidRPr="00C23923">
        <w:rPr>
          <w:rFonts w:ascii="Tw Cen MT" w:hAnsi="Tw Cen MT" w:cstheme="majorHAnsi"/>
          <w:b/>
          <w:sz w:val="20"/>
          <w:szCs w:val="20"/>
          <w:lang w:val="en-GB"/>
        </w:rPr>
        <w:t xml:space="preserve">the </w:t>
      </w:r>
      <w:r w:rsidR="009F34B2" w:rsidRPr="00C23923">
        <w:rPr>
          <w:rFonts w:ascii="Tw Cen MT" w:hAnsi="Tw Cen MT" w:cstheme="majorHAnsi"/>
          <w:b/>
          <w:sz w:val="20"/>
          <w:szCs w:val="20"/>
          <w:lang w:val="en-GB"/>
        </w:rPr>
        <w:t xml:space="preserve">multisectoral location assessment </w:t>
      </w:r>
      <w:r w:rsidR="00235660" w:rsidRPr="00C23923">
        <w:rPr>
          <w:rFonts w:ascii="Tw Cen MT" w:hAnsi="Tw Cen MT" w:cstheme="majorHAnsi"/>
          <w:b/>
          <w:sz w:val="20"/>
          <w:szCs w:val="20"/>
          <w:lang w:val="en-GB"/>
        </w:rPr>
        <w:t xml:space="preserve">is not </w:t>
      </w:r>
      <w:r w:rsidR="002552E7" w:rsidRPr="00C23923">
        <w:rPr>
          <w:rFonts w:ascii="Tw Cen MT" w:hAnsi="Tw Cen MT" w:cstheme="majorHAnsi"/>
          <w:b/>
          <w:sz w:val="20"/>
          <w:szCs w:val="20"/>
          <w:lang w:val="en-GB"/>
        </w:rPr>
        <w:t xml:space="preserve">sufficient as </w:t>
      </w:r>
      <w:r w:rsidR="00235660" w:rsidRPr="00C23923">
        <w:rPr>
          <w:rFonts w:ascii="Tw Cen MT" w:hAnsi="Tw Cen MT" w:cstheme="majorHAnsi"/>
          <w:b/>
          <w:sz w:val="20"/>
          <w:szCs w:val="20"/>
          <w:lang w:val="en-GB"/>
        </w:rPr>
        <w:t xml:space="preserve">a standalone assessment and should </w:t>
      </w:r>
      <w:r w:rsidR="00BF5954" w:rsidRPr="00C23923">
        <w:rPr>
          <w:rFonts w:ascii="Tw Cen MT" w:hAnsi="Tw Cen MT" w:cstheme="majorHAnsi"/>
          <w:b/>
          <w:sz w:val="20"/>
          <w:szCs w:val="20"/>
          <w:lang w:val="en-GB"/>
        </w:rPr>
        <w:t xml:space="preserve">not </w:t>
      </w:r>
      <w:r w:rsidR="00235660" w:rsidRPr="00C23923">
        <w:rPr>
          <w:rFonts w:ascii="Tw Cen MT" w:hAnsi="Tw Cen MT" w:cstheme="majorHAnsi"/>
          <w:b/>
          <w:sz w:val="20"/>
          <w:szCs w:val="20"/>
          <w:lang w:val="en-GB"/>
        </w:rPr>
        <w:t xml:space="preserve">be treated as the ONLY tool for GBV data collection. </w:t>
      </w:r>
    </w:p>
    <w:p w14:paraId="14399CF7" w14:textId="77777777" w:rsidR="00235660" w:rsidRPr="00C23923" w:rsidRDefault="00235660" w:rsidP="0001540A">
      <w:pPr>
        <w:pStyle w:val="NoSpacing"/>
        <w:jc w:val="both"/>
        <w:rPr>
          <w:rFonts w:asciiTheme="majorHAnsi" w:hAnsiTheme="majorHAnsi" w:cstheme="majorHAnsi"/>
          <w:i/>
          <w:sz w:val="20"/>
          <w:szCs w:val="20"/>
          <w:lang w:val="en-GB"/>
        </w:rPr>
      </w:pPr>
    </w:p>
    <w:p w14:paraId="01477498" w14:textId="541906FB" w:rsidR="0001540A" w:rsidRPr="00203C10" w:rsidRDefault="0001540A" w:rsidP="00203C10">
      <w:pPr>
        <w:pStyle w:val="Heading2"/>
        <w:spacing w:before="0" w:line="240" w:lineRule="auto"/>
        <w:rPr>
          <w:rFonts w:ascii="Tw Cen MT" w:hAnsi="Tw Cen MT"/>
          <w:i/>
          <w:iCs/>
          <w:color w:val="auto"/>
          <w:sz w:val="24"/>
          <w:szCs w:val="24"/>
          <w:lang w:val="en-GB"/>
        </w:rPr>
      </w:pPr>
      <w:bookmarkStart w:id="2" w:name="_Toc113354898"/>
      <w:r w:rsidRPr="00203C10">
        <w:rPr>
          <w:rFonts w:ascii="Tw Cen MT" w:hAnsi="Tw Cen MT"/>
          <w:i/>
          <w:iCs/>
          <w:color w:val="auto"/>
          <w:sz w:val="24"/>
          <w:szCs w:val="24"/>
          <w:lang w:val="en-GB"/>
        </w:rPr>
        <w:t xml:space="preserve">How is </w:t>
      </w:r>
      <w:r w:rsidR="00DE1E0F" w:rsidRPr="00203C10">
        <w:rPr>
          <w:rFonts w:ascii="Tw Cen MT" w:hAnsi="Tw Cen MT"/>
          <w:i/>
          <w:iCs/>
          <w:color w:val="auto"/>
          <w:sz w:val="24"/>
          <w:szCs w:val="24"/>
          <w:lang w:val="en-GB"/>
        </w:rPr>
        <w:t>the questionnaire designed?</w:t>
      </w:r>
      <w:bookmarkEnd w:id="2"/>
    </w:p>
    <w:p w14:paraId="60402DBD" w14:textId="6AEBE4BE" w:rsidR="009F34B2" w:rsidRPr="00791445" w:rsidRDefault="0001540A" w:rsidP="0001540A">
      <w:pPr>
        <w:pStyle w:val="NoSpacing"/>
        <w:jc w:val="both"/>
        <w:rPr>
          <w:rFonts w:ascii="Tw Cen MT" w:hAnsi="Tw Cen MT" w:cstheme="majorHAnsi"/>
          <w:sz w:val="20"/>
          <w:szCs w:val="20"/>
          <w:lang w:val="en-GB"/>
        </w:rPr>
      </w:pPr>
      <w:r w:rsidRPr="00C23923">
        <w:rPr>
          <w:rFonts w:ascii="Tw Cen MT" w:hAnsi="Tw Cen MT" w:cstheme="majorHAnsi"/>
          <w:sz w:val="20"/>
          <w:szCs w:val="20"/>
          <w:lang w:val="en-GB"/>
        </w:rPr>
        <w:t>The questionnaire is designed differently in each context. In other words, there is no standard questionnaire that is provided, as information needs differ per context. Each cluster</w:t>
      </w:r>
      <w:r w:rsidR="00AE2D81" w:rsidRPr="00C23923">
        <w:rPr>
          <w:rFonts w:ascii="Tw Cen MT" w:hAnsi="Tw Cen MT" w:cstheme="majorHAnsi"/>
          <w:sz w:val="20"/>
          <w:szCs w:val="20"/>
          <w:lang w:val="en-GB"/>
        </w:rPr>
        <w:t>/WG</w:t>
      </w:r>
      <w:r w:rsidRPr="00C23923">
        <w:rPr>
          <w:rFonts w:ascii="Tw Cen MT" w:hAnsi="Tw Cen MT" w:cstheme="majorHAnsi"/>
          <w:sz w:val="20"/>
          <w:szCs w:val="20"/>
          <w:lang w:val="en-GB"/>
        </w:rPr>
        <w:t xml:space="preserve"> is asked to provide input to the questionnaire,</w:t>
      </w:r>
      <w:r w:rsidR="005257F6" w:rsidRPr="00C23923">
        <w:rPr>
          <w:rFonts w:ascii="Tw Cen MT" w:hAnsi="Tw Cen MT" w:cstheme="majorHAnsi"/>
          <w:sz w:val="20"/>
          <w:szCs w:val="20"/>
          <w:lang w:val="en-GB"/>
        </w:rPr>
        <w:t xml:space="preserve"> </w:t>
      </w:r>
      <w:r w:rsidR="005257F6" w:rsidRPr="00DE1E0F">
        <w:rPr>
          <w:rFonts w:ascii="Tw Cen MT" w:hAnsi="Tw Cen MT" w:cstheme="majorHAnsi"/>
          <w:b/>
          <w:bCs/>
          <w:sz w:val="20"/>
          <w:szCs w:val="20"/>
          <w:lang w:val="en-GB"/>
        </w:rPr>
        <w:t>in the form of information they need in order to make their response decisions</w:t>
      </w:r>
      <w:r w:rsidR="00DE1E0F">
        <w:rPr>
          <w:rFonts w:ascii="Tw Cen MT" w:hAnsi="Tw Cen MT" w:cstheme="majorHAnsi"/>
          <w:sz w:val="20"/>
          <w:szCs w:val="20"/>
          <w:lang w:val="en-GB"/>
        </w:rPr>
        <w:t xml:space="preserve"> (and not as already/made questions). </w:t>
      </w:r>
      <w:r w:rsidR="005257F6" w:rsidRPr="00C23923">
        <w:rPr>
          <w:rFonts w:ascii="Tw Cen MT" w:hAnsi="Tw Cen MT" w:cstheme="majorHAnsi"/>
          <w:sz w:val="20"/>
          <w:szCs w:val="20"/>
          <w:lang w:val="en-GB"/>
        </w:rPr>
        <w:t xml:space="preserve">This is aimed at obtaining useful and usable information from the DTM </w:t>
      </w:r>
      <w:r w:rsidR="005257F6" w:rsidRPr="00791445">
        <w:rPr>
          <w:rFonts w:ascii="Tw Cen MT" w:hAnsi="Tw Cen MT" w:cstheme="majorHAnsi"/>
          <w:sz w:val="20"/>
          <w:szCs w:val="20"/>
          <w:lang w:val="en-GB"/>
        </w:rPr>
        <w:t>MSLA</w:t>
      </w:r>
      <w:r w:rsidRPr="00791445">
        <w:rPr>
          <w:rFonts w:ascii="Tw Cen MT" w:hAnsi="Tw Cen MT" w:cstheme="majorHAnsi"/>
          <w:sz w:val="20"/>
          <w:szCs w:val="20"/>
          <w:lang w:val="en-GB"/>
        </w:rPr>
        <w:t xml:space="preserve">. </w:t>
      </w:r>
      <w:r w:rsidR="00DE1E0F" w:rsidRPr="00791445">
        <w:rPr>
          <w:rFonts w:ascii="Tw Cen MT" w:hAnsi="Tw Cen MT" w:cstheme="majorHAnsi"/>
          <w:sz w:val="20"/>
          <w:szCs w:val="20"/>
          <w:lang w:val="en-GB"/>
        </w:rPr>
        <w:t xml:space="preserve">See the </w:t>
      </w:r>
      <w:hyperlink r:id="rId8" w:history="1">
        <w:r w:rsidR="00DE1E0F" w:rsidRPr="00791445">
          <w:rPr>
            <w:rStyle w:val="Hyperlink"/>
            <w:rFonts w:ascii="Tw Cen MT" w:hAnsi="Tw Cen MT" w:cstheme="majorHAnsi"/>
            <w:sz w:val="20"/>
            <w:szCs w:val="20"/>
            <w:lang w:val="en-GB"/>
          </w:rPr>
          <w:t>Pocket Guide to the Shared Approach</w:t>
        </w:r>
      </w:hyperlink>
      <w:r w:rsidR="00DE1E0F" w:rsidRPr="00791445">
        <w:rPr>
          <w:rFonts w:ascii="Tw Cen MT" w:hAnsi="Tw Cen MT" w:cstheme="majorHAnsi"/>
          <w:sz w:val="20"/>
          <w:szCs w:val="20"/>
          <w:lang w:val="en-GB"/>
        </w:rPr>
        <w:t xml:space="preserve"> or the </w:t>
      </w:r>
      <w:hyperlink r:id="rId9" w:history="1">
        <w:r w:rsidR="00DE1E0F" w:rsidRPr="00791445">
          <w:rPr>
            <w:rStyle w:val="Hyperlink"/>
            <w:rFonts w:ascii="Tw Cen MT" w:hAnsi="Tw Cen MT" w:cstheme="majorHAnsi"/>
            <w:sz w:val="20"/>
            <w:szCs w:val="20"/>
            <w:lang w:val="en-GB"/>
          </w:rPr>
          <w:t>DTM&amp;Partners Cooperation in Comics</w:t>
        </w:r>
      </w:hyperlink>
      <w:r w:rsidR="00DE1E0F" w:rsidRPr="00791445">
        <w:rPr>
          <w:rFonts w:ascii="Tw Cen MT" w:hAnsi="Tw Cen MT" w:cstheme="majorHAnsi"/>
          <w:sz w:val="20"/>
          <w:szCs w:val="20"/>
          <w:lang w:val="en-GB"/>
        </w:rPr>
        <w:t xml:space="preserve"> to find out how to input into DTM MSLA questionnaire.</w:t>
      </w:r>
    </w:p>
    <w:p w14:paraId="1C2AF1D2" w14:textId="368BCCEC" w:rsidR="009F34B2" w:rsidRPr="00791445" w:rsidRDefault="009F34B2" w:rsidP="0001540A">
      <w:pPr>
        <w:pStyle w:val="NoSpacing"/>
        <w:jc w:val="both"/>
        <w:rPr>
          <w:rFonts w:ascii="Tw Cen MT" w:hAnsi="Tw Cen MT" w:cstheme="majorHAnsi"/>
          <w:sz w:val="20"/>
          <w:szCs w:val="20"/>
          <w:lang w:val="en-GB"/>
        </w:rPr>
      </w:pPr>
    </w:p>
    <w:p w14:paraId="7D54B87C" w14:textId="1E97EE20" w:rsidR="00041B46" w:rsidRPr="00791445" w:rsidRDefault="00041B46" w:rsidP="00F472D3">
      <w:pPr>
        <w:pStyle w:val="Heading1"/>
        <w:numPr>
          <w:ilvl w:val="0"/>
          <w:numId w:val="25"/>
        </w:numPr>
        <w:spacing w:before="0" w:line="240" w:lineRule="auto"/>
        <w:ind w:left="714" w:hanging="357"/>
        <w:rPr>
          <w:rFonts w:ascii="Tw Cen MT" w:hAnsi="Tw Cen MT"/>
          <w:i/>
          <w:iCs/>
          <w:color w:val="auto"/>
          <w:sz w:val="28"/>
          <w:szCs w:val="28"/>
          <w:u w:val="single"/>
          <w:lang w:val="en-GB"/>
        </w:rPr>
      </w:pPr>
      <w:bookmarkStart w:id="3" w:name="_Toc113354899"/>
      <w:r w:rsidRPr="00791445">
        <w:rPr>
          <w:rFonts w:ascii="Tw Cen MT" w:hAnsi="Tw Cen MT"/>
          <w:i/>
          <w:iCs/>
          <w:color w:val="auto"/>
          <w:sz w:val="28"/>
          <w:szCs w:val="28"/>
          <w:u w:val="single"/>
          <w:lang w:val="en-GB"/>
        </w:rPr>
        <w:t>What can I use DTM MSLA for?</w:t>
      </w:r>
      <w:bookmarkEnd w:id="3"/>
    </w:p>
    <w:p w14:paraId="3636793D" w14:textId="6B4EC411" w:rsidR="00041B46" w:rsidRPr="00041B46" w:rsidRDefault="00041B46" w:rsidP="00041B46">
      <w:pPr>
        <w:pStyle w:val="NoSpacing"/>
        <w:jc w:val="both"/>
        <w:rPr>
          <w:rFonts w:ascii="Tw Cen MT" w:hAnsi="Tw Cen MT" w:cstheme="majorHAnsi"/>
          <w:i/>
          <w:iCs/>
          <w:sz w:val="20"/>
          <w:szCs w:val="20"/>
          <w:lang w:val="en-US"/>
        </w:rPr>
      </w:pPr>
      <w:r w:rsidRPr="00791445">
        <w:rPr>
          <w:rFonts w:ascii="Tw Cen MT" w:hAnsi="Tw Cen MT" w:cstheme="majorHAnsi"/>
          <w:i/>
          <w:iCs/>
          <w:sz w:val="20"/>
          <w:szCs w:val="20"/>
          <w:lang w:val="en-US"/>
        </w:rPr>
        <w:t xml:space="preserve">Data from the DTM MSLA should be used as an </w:t>
      </w:r>
      <w:r w:rsidRPr="00791445">
        <w:rPr>
          <w:rFonts w:ascii="Tw Cen MT" w:hAnsi="Tw Cen MT" w:cstheme="majorHAnsi"/>
          <w:b/>
          <w:i/>
          <w:iCs/>
          <w:sz w:val="20"/>
          <w:szCs w:val="20"/>
          <w:lang w:val="en-US"/>
        </w:rPr>
        <w:t xml:space="preserve">indication on gaps in services, and </w:t>
      </w:r>
      <w:r w:rsidR="00AF21FA" w:rsidRPr="00791445">
        <w:rPr>
          <w:rFonts w:ascii="Tw Cen MT" w:hAnsi="Tw Cen MT" w:cstheme="majorHAnsi"/>
          <w:b/>
          <w:i/>
          <w:iCs/>
          <w:sz w:val="20"/>
          <w:szCs w:val="20"/>
          <w:lang w:val="en-US"/>
        </w:rPr>
        <w:t>areas of increased</w:t>
      </w:r>
      <w:r w:rsidRPr="00791445">
        <w:rPr>
          <w:rFonts w:ascii="Tw Cen MT" w:hAnsi="Tw Cen MT" w:cstheme="majorHAnsi"/>
          <w:b/>
          <w:i/>
          <w:iCs/>
          <w:sz w:val="20"/>
          <w:szCs w:val="20"/>
          <w:lang w:val="en-US"/>
        </w:rPr>
        <w:t xml:space="preserve"> GBV risks.</w:t>
      </w:r>
      <w:r w:rsidRPr="00791445">
        <w:rPr>
          <w:rFonts w:ascii="Tw Cen MT" w:hAnsi="Tw Cen MT" w:cstheme="majorHAnsi"/>
          <w:i/>
          <w:iCs/>
          <w:sz w:val="20"/>
          <w:szCs w:val="20"/>
          <w:lang w:val="en-US"/>
        </w:rPr>
        <w:t xml:space="preserve"> The DTM should be analyzed to look at trends that emerge from the data, and what protection needs and GBV risks come up. In order to create a complete picture, other GBV information or specialized GBV assessments (e.g., through Focus Group Discussions, Service Mapping, Safety Audits, etc.)</w:t>
      </w:r>
      <w:r w:rsidRPr="00791445">
        <w:rPr>
          <w:rFonts w:ascii="Tw Cen MT" w:hAnsi="Tw Cen MT" w:cstheme="majorHAnsi"/>
          <w:b/>
          <w:i/>
          <w:iCs/>
          <w:sz w:val="20"/>
          <w:szCs w:val="20"/>
          <w:lang w:val="en-US"/>
        </w:rPr>
        <w:t xml:space="preserve"> </w:t>
      </w:r>
      <w:r w:rsidRPr="00791445">
        <w:rPr>
          <w:rFonts w:ascii="Tw Cen MT" w:hAnsi="Tw Cen MT" w:cstheme="majorHAnsi"/>
          <w:i/>
          <w:iCs/>
          <w:sz w:val="20"/>
          <w:szCs w:val="20"/>
          <w:lang w:val="en-US"/>
        </w:rPr>
        <w:t>need to be looked at to complement this information.</w:t>
      </w:r>
      <w:r w:rsidRPr="00041B46">
        <w:rPr>
          <w:rFonts w:ascii="Tw Cen MT" w:hAnsi="Tw Cen MT" w:cstheme="majorHAnsi"/>
          <w:b/>
          <w:i/>
          <w:iCs/>
          <w:sz w:val="20"/>
          <w:szCs w:val="20"/>
          <w:lang w:val="en-US"/>
        </w:rPr>
        <w:t xml:space="preserve"> </w:t>
      </w:r>
    </w:p>
    <w:p w14:paraId="73C50022" w14:textId="77777777" w:rsidR="00BB5032" w:rsidRDefault="00BB5032" w:rsidP="00041B46">
      <w:pPr>
        <w:pStyle w:val="NoSpacing"/>
        <w:spacing w:before="120"/>
        <w:jc w:val="both"/>
        <w:rPr>
          <w:rFonts w:ascii="Tw Cen MT" w:hAnsi="Tw Cen MT" w:cstheme="majorHAnsi"/>
          <w:sz w:val="20"/>
          <w:szCs w:val="20"/>
          <w:lang w:val="en-GB"/>
        </w:rPr>
      </w:pPr>
    </w:p>
    <w:p w14:paraId="4690ED7C" w14:textId="4E5D7E59" w:rsidR="00041B46" w:rsidRPr="00C23923" w:rsidRDefault="00041B46" w:rsidP="00041B46">
      <w:pPr>
        <w:pStyle w:val="NoSpacing"/>
        <w:spacing w:before="120"/>
        <w:jc w:val="both"/>
        <w:rPr>
          <w:rFonts w:ascii="Tw Cen MT" w:hAnsi="Tw Cen MT" w:cstheme="majorHAnsi"/>
          <w:sz w:val="20"/>
          <w:szCs w:val="20"/>
          <w:lang w:val="en-GB"/>
        </w:rPr>
      </w:pPr>
      <w:r w:rsidRPr="00C23923">
        <w:rPr>
          <w:rFonts w:ascii="Tw Cen MT" w:hAnsi="Tw Cen MT" w:cstheme="majorHAnsi"/>
          <w:sz w:val="20"/>
          <w:szCs w:val="20"/>
          <w:lang w:val="en-GB"/>
        </w:rPr>
        <w:t xml:space="preserve">Information from DTM MSLA can give insight into several areas: </w:t>
      </w:r>
    </w:p>
    <w:p w14:paraId="40F384BD" w14:textId="3E6208B5" w:rsidR="00041B46" w:rsidRPr="003805C6" w:rsidRDefault="00544950" w:rsidP="00383B1A">
      <w:pPr>
        <w:pStyle w:val="NoSpacing"/>
        <w:numPr>
          <w:ilvl w:val="0"/>
          <w:numId w:val="17"/>
        </w:numPr>
        <w:ind w:left="567" w:hanging="284"/>
        <w:jc w:val="both"/>
        <w:rPr>
          <w:rFonts w:ascii="Tw Cen MT" w:hAnsi="Tw Cen MT" w:cstheme="majorHAnsi"/>
          <w:sz w:val="20"/>
          <w:szCs w:val="20"/>
          <w:lang w:val="en-GB"/>
        </w:rPr>
      </w:pPr>
      <w:r w:rsidRPr="00544950">
        <w:rPr>
          <w:rFonts w:ascii="Tw Cen MT" w:hAnsi="Tw Cen MT" w:cstheme="majorHAnsi"/>
          <w:b/>
          <w:bCs/>
          <w:sz w:val="20"/>
          <w:szCs w:val="20"/>
          <w:lang w:val="en-GB"/>
        </w:rPr>
        <w:t xml:space="preserve">The DTM can help GBV actors identify locations and issues of high priority for intervention or where follow-up specialized assessments are needed. </w:t>
      </w:r>
      <w:r w:rsidR="00041B46" w:rsidRPr="003805C6">
        <w:rPr>
          <w:rFonts w:ascii="Tw Cen MT" w:hAnsi="Tw Cen MT" w:cstheme="majorHAnsi"/>
          <w:sz w:val="20"/>
          <w:szCs w:val="20"/>
          <w:lang w:val="en-GB"/>
        </w:rPr>
        <w:t xml:space="preserve">Once GBV experts identify the factors that increase or decrease the risks of GBV in the context (e.g., lights in latrines, whether women must walk far to collect </w:t>
      </w:r>
      <w:r w:rsidR="00041B46" w:rsidRPr="003805C6">
        <w:rPr>
          <w:rFonts w:ascii="Tw Cen MT" w:hAnsi="Tw Cen MT" w:cstheme="majorHAnsi"/>
          <w:sz w:val="20"/>
          <w:szCs w:val="20"/>
          <w:lang w:val="en-GB"/>
        </w:rPr>
        <w:lastRenderedPageBreak/>
        <w:t xml:space="preserve">firewood or water), DTM MSLA can provide information on where these factors are present. </w:t>
      </w:r>
      <w:r w:rsidR="00041B46">
        <w:rPr>
          <w:rFonts w:ascii="Tw Cen MT" w:hAnsi="Tw Cen MT" w:cstheme="majorHAnsi"/>
          <w:sz w:val="20"/>
          <w:szCs w:val="20"/>
          <w:lang w:val="en-GB"/>
        </w:rPr>
        <w:t>C</w:t>
      </w:r>
      <w:r w:rsidR="00041B46" w:rsidRPr="003805C6">
        <w:rPr>
          <w:rFonts w:ascii="Tw Cen MT" w:hAnsi="Tw Cen MT" w:cstheme="majorHAnsi"/>
          <w:sz w:val="20"/>
          <w:szCs w:val="20"/>
          <w:lang w:val="en-GB"/>
        </w:rPr>
        <w:t>ombined together</w:t>
      </w:r>
      <w:r w:rsidR="00041B46">
        <w:rPr>
          <w:rFonts w:ascii="Tw Cen MT" w:hAnsi="Tw Cen MT" w:cstheme="majorHAnsi"/>
          <w:sz w:val="20"/>
          <w:szCs w:val="20"/>
          <w:lang w:val="en-GB"/>
        </w:rPr>
        <w:t xml:space="preserve">, this information can help GBV colleagues </w:t>
      </w:r>
      <w:r w:rsidR="00041B46" w:rsidRPr="003805C6">
        <w:rPr>
          <w:rFonts w:ascii="Tw Cen MT" w:hAnsi="Tw Cen MT" w:cstheme="majorHAnsi"/>
          <w:sz w:val="20"/>
          <w:szCs w:val="20"/>
          <w:lang w:val="en-GB"/>
        </w:rPr>
        <w:t xml:space="preserve">understand in which geographical areas the risks to GBV are highest. Based on this, actors can prioritize locations </w:t>
      </w:r>
      <w:r w:rsidR="00041B46">
        <w:rPr>
          <w:rFonts w:ascii="Tw Cen MT" w:hAnsi="Tw Cen MT" w:cstheme="majorHAnsi"/>
          <w:sz w:val="20"/>
          <w:szCs w:val="20"/>
          <w:lang w:val="en-GB"/>
        </w:rPr>
        <w:t xml:space="preserve">for response </w:t>
      </w:r>
      <w:r w:rsidR="00041B46" w:rsidRPr="003805C6">
        <w:rPr>
          <w:rFonts w:ascii="Tw Cen MT" w:hAnsi="Tw Cen MT" w:cstheme="majorHAnsi"/>
          <w:sz w:val="20"/>
          <w:szCs w:val="20"/>
          <w:lang w:val="en-GB"/>
        </w:rPr>
        <w:t xml:space="preserve">or decide where to do follow up assessments. </w:t>
      </w:r>
    </w:p>
    <w:p w14:paraId="59382691" w14:textId="77777777" w:rsidR="00041B46" w:rsidRPr="00C23923" w:rsidRDefault="00041B46" w:rsidP="00383B1A">
      <w:pPr>
        <w:pStyle w:val="NoSpacing"/>
        <w:numPr>
          <w:ilvl w:val="0"/>
          <w:numId w:val="17"/>
        </w:numPr>
        <w:ind w:left="567" w:hanging="284"/>
        <w:jc w:val="both"/>
        <w:rPr>
          <w:rFonts w:ascii="Tw Cen MT" w:hAnsi="Tw Cen MT" w:cstheme="majorHAnsi"/>
          <w:sz w:val="20"/>
          <w:szCs w:val="20"/>
          <w:lang w:val="en-GB"/>
        </w:rPr>
      </w:pPr>
      <w:r w:rsidRPr="00C23923">
        <w:rPr>
          <w:rFonts w:ascii="Tw Cen MT" w:hAnsi="Tw Cen MT" w:cstheme="majorHAnsi"/>
          <w:sz w:val="20"/>
          <w:szCs w:val="20"/>
          <w:lang w:val="en-GB"/>
        </w:rPr>
        <w:t>In some context, carefully selected DTM indicators of the above categories are used to inform severity ranking for response prioritization during JIAF HPC process. Field teams are encouraged to check with GBV AoR for global HPC guidance.</w:t>
      </w:r>
    </w:p>
    <w:p w14:paraId="5A2C75B2" w14:textId="77777777" w:rsidR="00041B46" w:rsidRDefault="00041B46" w:rsidP="00383B1A">
      <w:pPr>
        <w:pStyle w:val="NoSpacing"/>
        <w:numPr>
          <w:ilvl w:val="0"/>
          <w:numId w:val="17"/>
        </w:numPr>
        <w:ind w:left="567" w:hanging="284"/>
        <w:jc w:val="both"/>
        <w:rPr>
          <w:rFonts w:ascii="Tw Cen MT" w:hAnsi="Tw Cen MT" w:cstheme="majorHAnsi"/>
          <w:sz w:val="20"/>
          <w:szCs w:val="20"/>
          <w:lang w:val="en-GB"/>
        </w:rPr>
      </w:pPr>
      <w:r>
        <w:rPr>
          <w:rFonts w:ascii="Tw Cen MT" w:hAnsi="Tw Cen MT" w:cstheme="majorHAnsi"/>
          <w:sz w:val="20"/>
          <w:szCs w:val="20"/>
          <w:lang w:val="en-GB"/>
        </w:rPr>
        <w:t>Information on factors increasing the risk can also be used by GBV colleagues to lobby other sectors to reduce these risk factors through sectoral programmes (e.g., WASH, Shelter, CCCM, Education, Health…)</w:t>
      </w:r>
    </w:p>
    <w:p w14:paraId="76AC1284" w14:textId="6875D851" w:rsidR="00041B46" w:rsidRDefault="00041B46" w:rsidP="00383B1A">
      <w:pPr>
        <w:pStyle w:val="NoSpacing"/>
        <w:numPr>
          <w:ilvl w:val="0"/>
          <w:numId w:val="17"/>
        </w:numPr>
        <w:ind w:left="567" w:hanging="284"/>
        <w:jc w:val="both"/>
        <w:rPr>
          <w:rFonts w:ascii="Tw Cen MT" w:hAnsi="Tw Cen MT" w:cstheme="majorHAnsi"/>
          <w:sz w:val="20"/>
          <w:szCs w:val="20"/>
          <w:lang w:val="en-GB"/>
        </w:rPr>
      </w:pPr>
      <w:r w:rsidRPr="00C23923">
        <w:rPr>
          <w:rFonts w:ascii="Tw Cen MT" w:hAnsi="Tw Cen MT" w:cstheme="majorHAnsi"/>
          <w:sz w:val="20"/>
          <w:szCs w:val="20"/>
          <w:lang w:val="en-GB"/>
        </w:rPr>
        <w:t>DTM information can also be used to create an overview of each site/location (</w:t>
      </w:r>
      <w:r w:rsidRPr="00DF3424">
        <w:rPr>
          <w:rFonts w:ascii="Tw Cen MT" w:hAnsi="Tw Cen MT" w:cstheme="majorHAnsi"/>
          <w:sz w:val="20"/>
          <w:szCs w:val="20"/>
          <w:lang w:val="en-GB"/>
        </w:rPr>
        <w:t>site profiles)</w:t>
      </w:r>
      <w:r w:rsidRPr="00C23923">
        <w:rPr>
          <w:rFonts w:ascii="Tw Cen MT" w:hAnsi="Tw Cen MT" w:cstheme="majorHAnsi"/>
          <w:sz w:val="20"/>
          <w:szCs w:val="20"/>
          <w:lang w:val="en-GB"/>
        </w:rPr>
        <w:t>, that can be</w:t>
      </w:r>
      <w:r w:rsidRPr="00C23923">
        <w:rPr>
          <w:rFonts w:ascii="Tw Cen MT" w:hAnsi="Tw Cen MT" w:cstheme="majorHAnsi"/>
          <w:sz w:val="20"/>
          <w:szCs w:val="20"/>
          <w:lang w:val="en-GB"/>
        </w:rPr>
        <w:br/>
        <w:t>used to tailor responses to each site/location.</w:t>
      </w:r>
    </w:p>
    <w:p w14:paraId="0BF895B6" w14:textId="2F257D13" w:rsidR="00041B46" w:rsidRDefault="00041B46" w:rsidP="00041B46">
      <w:pPr>
        <w:pStyle w:val="NoSpacing"/>
        <w:ind w:left="851"/>
        <w:jc w:val="both"/>
        <w:rPr>
          <w:rFonts w:ascii="Tw Cen MT" w:hAnsi="Tw Cen MT" w:cstheme="majorHAnsi"/>
          <w:sz w:val="20"/>
          <w:szCs w:val="20"/>
          <w:lang w:val="en-GB"/>
        </w:rPr>
      </w:pPr>
    </w:p>
    <w:p w14:paraId="4C3C1DC4" w14:textId="77777777" w:rsidR="001A0915" w:rsidRPr="00C23923" w:rsidRDefault="001A0915" w:rsidP="00041B46">
      <w:pPr>
        <w:pStyle w:val="NoSpacing"/>
        <w:ind w:left="851"/>
        <w:jc w:val="both"/>
        <w:rPr>
          <w:rFonts w:ascii="Tw Cen MT" w:hAnsi="Tw Cen MT" w:cstheme="majorHAnsi"/>
          <w:sz w:val="20"/>
          <w:szCs w:val="20"/>
          <w:lang w:val="en-GB"/>
        </w:rPr>
      </w:pPr>
    </w:p>
    <w:p w14:paraId="2C414616" w14:textId="40FB6AA6" w:rsidR="009F34B2" w:rsidRPr="00F472D3" w:rsidRDefault="00EB6710" w:rsidP="00F472D3">
      <w:pPr>
        <w:pStyle w:val="Heading1"/>
        <w:numPr>
          <w:ilvl w:val="0"/>
          <w:numId w:val="25"/>
        </w:numPr>
        <w:spacing w:before="0" w:line="240" w:lineRule="auto"/>
        <w:ind w:left="714" w:hanging="357"/>
        <w:rPr>
          <w:rFonts w:ascii="Tw Cen MT" w:hAnsi="Tw Cen MT"/>
          <w:i/>
          <w:iCs/>
          <w:color w:val="auto"/>
          <w:sz w:val="28"/>
          <w:szCs w:val="28"/>
          <w:u w:val="single"/>
          <w:lang w:val="en-GB"/>
        </w:rPr>
      </w:pPr>
      <w:bookmarkStart w:id="4" w:name="_Toc113354900"/>
      <w:r w:rsidRPr="00F472D3">
        <w:rPr>
          <w:rFonts w:ascii="Tw Cen MT" w:hAnsi="Tw Cen MT"/>
          <w:i/>
          <w:iCs/>
          <w:color w:val="auto"/>
          <w:sz w:val="28"/>
          <w:szCs w:val="28"/>
          <w:u w:val="single"/>
          <w:lang w:val="en-GB"/>
        </w:rPr>
        <w:t>How can</w:t>
      </w:r>
      <w:r w:rsidR="009F34B2" w:rsidRPr="00F472D3">
        <w:rPr>
          <w:rFonts w:ascii="Tw Cen MT" w:hAnsi="Tw Cen MT"/>
          <w:i/>
          <w:iCs/>
          <w:color w:val="auto"/>
          <w:sz w:val="28"/>
          <w:szCs w:val="28"/>
          <w:u w:val="single"/>
          <w:lang w:val="en-GB"/>
        </w:rPr>
        <w:t xml:space="preserve"> GBV sub-cluster </w:t>
      </w:r>
      <w:r w:rsidRPr="00F472D3">
        <w:rPr>
          <w:rFonts w:ascii="Tw Cen MT" w:hAnsi="Tw Cen MT"/>
          <w:i/>
          <w:iCs/>
          <w:color w:val="auto"/>
          <w:sz w:val="28"/>
          <w:szCs w:val="28"/>
          <w:u w:val="single"/>
          <w:lang w:val="en-GB"/>
        </w:rPr>
        <w:t xml:space="preserve">effectively </w:t>
      </w:r>
      <w:r w:rsidR="007A74C3" w:rsidRPr="00F472D3">
        <w:rPr>
          <w:rFonts w:ascii="Tw Cen MT" w:hAnsi="Tw Cen MT"/>
          <w:i/>
          <w:iCs/>
          <w:color w:val="auto"/>
          <w:sz w:val="28"/>
          <w:szCs w:val="28"/>
          <w:u w:val="single"/>
          <w:lang w:val="en-GB"/>
        </w:rPr>
        <w:t>work</w:t>
      </w:r>
      <w:r w:rsidRPr="00F472D3">
        <w:rPr>
          <w:rFonts w:ascii="Tw Cen MT" w:hAnsi="Tw Cen MT"/>
          <w:i/>
          <w:iCs/>
          <w:color w:val="auto"/>
          <w:sz w:val="28"/>
          <w:szCs w:val="28"/>
          <w:u w:val="single"/>
          <w:lang w:val="en-GB"/>
        </w:rPr>
        <w:t xml:space="preserve"> </w:t>
      </w:r>
      <w:r w:rsidR="007A74C3" w:rsidRPr="00F472D3">
        <w:rPr>
          <w:rFonts w:ascii="Tw Cen MT" w:hAnsi="Tw Cen MT"/>
          <w:i/>
          <w:iCs/>
          <w:color w:val="auto"/>
          <w:sz w:val="28"/>
          <w:szCs w:val="28"/>
          <w:u w:val="single"/>
          <w:lang w:val="en-GB"/>
        </w:rPr>
        <w:t xml:space="preserve">with </w:t>
      </w:r>
      <w:r w:rsidR="009F34B2" w:rsidRPr="00F472D3">
        <w:rPr>
          <w:rFonts w:ascii="Tw Cen MT" w:hAnsi="Tw Cen MT"/>
          <w:i/>
          <w:iCs/>
          <w:color w:val="auto"/>
          <w:sz w:val="28"/>
          <w:szCs w:val="28"/>
          <w:u w:val="single"/>
          <w:lang w:val="en-GB"/>
        </w:rPr>
        <w:t>DTM?</w:t>
      </w:r>
      <w:bookmarkEnd w:id="4"/>
    </w:p>
    <w:p w14:paraId="2D509BEC" w14:textId="19278521" w:rsidR="00354F50" w:rsidRPr="00C23923" w:rsidRDefault="00FC676D" w:rsidP="0001540A">
      <w:pPr>
        <w:pStyle w:val="NoSpacing"/>
        <w:jc w:val="both"/>
        <w:rPr>
          <w:rFonts w:ascii="Tw Cen MT" w:hAnsi="Tw Cen MT" w:cstheme="majorHAnsi"/>
          <w:sz w:val="20"/>
          <w:szCs w:val="20"/>
          <w:lang w:val="en-GB"/>
        </w:rPr>
      </w:pPr>
      <w:r w:rsidRPr="00C23923">
        <w:rPr>
          <w:rFonts w:ascii="Tw Cen MT" w:hAnsi="Tw Cen MT" w:cstheme="majorHAnsi"/>
          <w:sz w:val="20"/>
          <w:szCs w:val="20"/>
          <w:lang w:val="en-GB"/>
        </w:rPr>
        <w:t xml:space="preserve">There are </w:t>
      </w:r>
      <w:r w:rsidRPr="00C23923">
        <w:rPr>
          <w:rFonts w:ascii="Tw Cen MT" w:hAnsi="Tw Cen MT" w:cstheme="majorHAnsi"/>
          <w:i/>
          <w:sz w:val="20"/>
          <w:szCs w:val="20"/>
          <w:lang w:val="en-GB"/>
        </w:rPr>
        <w:t xml:space="preserve">four key roles </w:t>
      </w:r>
      <w:r w:rsidRPr="00C23923">
        <w:rPr>
          <w:rFonts w:ascii="Tw Cen MT" w:hAnsi="Tw Cen MT" w:cstheme="majorHAnsi"/>
          <w:sz w:val="20"/>
          <w:szCs w:val="20"/>
          <w:lang w:val="en-GB"/>
        </w:rPr>
        <w:t>in making a DTM questionnaire:</w:t>
      </w:r>
    </w:p>
    <w:p w14:paraId="58CEE50E" w14:textId="7BD66F39" w:rsidR="005257F6" w:rsidRPr="00C23923" w:rsidRDefault="005257F6" w:rsidP="00383B1A">
      <w:pPr>
        <w:pStyle w:val="NoSpacing"/>
        <w:numPr>
          <w:ilvl w:val="0"/>
          <w:numId w:val="24"/>
        </w:numPr>
        <w:ind w:left="567" w:hanging="283"/>
        <w:jc w:val="both"/>
        <w:rPr>
          <w:rFonts w:ascii="Tw Cen MT" w:hAnsi="Tw Cen MT" w:cstheme="majorHAnsi"/>
          <w:b/>
          <w:sz w:val="20"/>
          <w:szCs w:val="20"/>
          <w:lang w:val="en-GB"/>
        </w:rPr>
      </w:pPr>
      <w:r w:rsidRPr="00752E09">
        <w:rPr>
          <w:rFonts w:ascii="Tw Cen MT" w:hAnsi="Tw Cen MT" w:cstheme="majorHAnsi"/>
          <w:bCs/>
          <w:sz w:val="20"/>
          <w:szCs w:val="20"/>
          <w:lang w:val="en-GB"/>
        </w:rPr>
        <w:t>The</w:t>
      </w:r>
      <w:r w:rsidRPr="00C23923">
        <w:rPr>
          <w:rFonts w:ascii="Tw Cen MT" w:hAnsi="Tw Cen MT" w:cstheme="majorHAnsi"/>
          <w:b/>
          <w:sz w:val="20"/>
          <w:szCs w:val="20"/>
          <w:lang w:val="en-GB"/>
        </w:rPr>
        <w:t xml:space="preserve"> GBV sub-cluster coordinator: </w:t>
      </w:r>
      <w:r w:rsidRPr="00C23923">
        <w:rPr>
          <w:rFonts w:ascii="Tw Cen MT" w:hAnsi="Tw Cen MT" w:cstheme="majorHAnsi"/>
          <w:sz w:val="20"/>
          <w:szCs w:val="20"/>
          <w:lang w:val="en-GB"/>
        </w:rPr>
        <w:t xml:space="preserve">Defines the information on GBV needs and risks to be collected, based on what decisions the cluster should make for the response. </w:t>
      </w:r>
    </w:p>
    <w:p w14:paraId="14362281" w14:textId="7AC2ED40" w:rsidR="005257F6" w:rsidRPr="00791445" w:rsidRDefault="005257F6" w:rsidP="00383B1A">
      <w:pPr>
        <w:pStyle w:val="NoSpacing"/>
        <w:numPr>
          <w:ilvl w:val="0"/>
          <w:numId w:val="24"/>
        </w:numPr>
        <w:ind w:left="567" w:hanging="283"/>
        <w:jc w:val="both"/>
        <w:rPr>
          <w:rFonts w:ascii="Tw Cen MT" w:hAnsi="Tw Cen MT" w:cstheme="majorHAnsi"/>
          <w:b/>
          <w:sz w:val="20"/>
          <w:szCs w:val="20"/>
          <w:lang w:val="en-GB"/>
        </w:rPr>
      </w:pPr>
      <w:r w:rsidRPr="00752E09">
        <w:rPr>
          <w:rFonts w:ascii="Tw Cen MT" w:hAnsi="Tw Cen MT" w:cstheme="majorHAnsi"/>
          <w:bCs/>
          <w:sz w:val="20"/>
          <w:szCs w:val="20"/>
          <w:lang w:val="en-GB"/>
        </w:rPr>
        <w:t>The</w:t>
      </w:r>
      <w:r w:rsidRPr="00C23923">
        <w:rPr>
          <w:rFonts w:ascii="Tw Cen MT" w:hAnsi="Tw Cen MT" w:cstheme="majorHAnsi"/>
          <w:b/>
          <w:sz w:val="20"/>
          <w:szCs w:val="20"/>
          <w:lang w:val="en-GB"/>
        </w:rPr>
        <w:t xml:space="preserve"> GBV sub-cluster IMO: </w:t>
      </w:r>
      <w:r w:rsidRPr="00C23923">
        <w:rPr>
          <w:rFonts w:ascii="Tw Cen MT" w:hAnsi="Tw Cen MT" w:cstheme="majorHAnsi"/>
          <w:sz w:val="20"/>
          <w:szCs w:val="20"/>
          <w:lang w:val="en-GB"/>
        </w:rPr>
        <w:t xml:space="preserve">Identifies what information on GBV already exists, what is missing, and what can </w:t>
      </w:r>
      <w:r w:rsidRPr="00791445">
        <w:rPr>
          <w:rFonts w:ascii="Tw Cen MT" w:hAnsi="Tw Cen MT" w:cstheme="majorHAnsi"/>
          <w:sz w:val="20"/>
          <w:szCs w:val="20"/>
          <w:lang w:val="en-GB"/>
        </w:rPr>
        <w:t xml:space="preserve">be collected through DTM MSLA. </w:t>
      </w:r>
    </w:p>
    <w:p w14:paraId="087A8920" w14:textId="1041DEDD" w:rsidR="00FC676D" w:rsidRPr="00791445" w:rsidRDefault="00FC676D" w:rsidP="00383B1A">
      <w:pPr>
        <w:pStyle w:val="NoSpacing"/>
        <w:numPr>
          <w:ilvl w:val="0"/>
          <w:numId w:val="24"/>
        </w:numPr>
        <w:ind w:left="567" w:hanging="283"/>
        <w:jc w:val="both"/>
        <w:rPr>
          <w:rFonts w:ascii="Tw Cen MT" w:hAnsi="Tw Cen MT" w:cstheme="majorHAnsi"/>
          <w:sz w:val="20"/>
          <w:szCs w:val="20"/>
          <w:lang w:val="en-GB"/>
        </w:rPr>
      </w:pPr>
      <w:r w:rsidRPr="00791445">
        <w:rPr>
          <w:rFonts w:ascii="Tw Cen MT" w:hAnsi="Tw Cen MT" w:cstheme="majorHAnsi"/>
          <w:sz w:val="20"/>
          <w:szCs w:val="20"/>
          <w:lang w:val="en-GB"/>
        </w:rPr>
        <w:t xml:space="preserve">The </w:t>
      </w:r>
      <w:r w:rsidRPr="00791445">
        <w:rPr>
          <w:rFonts w:ascii="Tw Cen MT" w:hAnsi="Tw Cen MT" w:cstheme="majorHAnsi"/>
          <w:b/>
          <w:bCs/>
          <w:sz w:val="20"/>
          <w:szCs w:val="20"/>
          <w:lang w:val="en-GB"/>
        </w:rPr>
        <w:t>DTM coordinator</w:t>
      </w:r>
      <w:r w:rsidRPr="00791445">
        <w:rPr>
          <w:rFonts w:ascii="Tw Cen MT" w:hAnsi="Tw Cen MT" w:cstheme="majorHAnsi"/>
          <w:sz w:val="20"/>
          <w:szCs w:val="20"/>
          <w:lang w:val="en-GB"/>
        </w:rPr>
        <w:t xml:space="preserve">: He/she will </w:t>
      </w:r>
      <w:r w:rsidR="00AE2D81" w:rsidRPr="00791445">
        <w:rPr>
          <w:rFonts w:ascii="Tw Cen MT" w:hAnsi="Tw Cen MT" w:cstheme="majorHAnsi"/>
          <w:sz w:val="20"/>
          <w:szCs w:val="20"/>
          <w:lang w:val="en-GB"/>
        </w:rPr>
        <w:t>discuss with partners (e.g.,</w:t>
      </w:r>
      <w:r w:rsidRPr="00791445">
        <w:rPr>
          <w:rFonts w:ascii="Tw Cen MT" w:hAnsi="Tw Cen MT" w:cstheme="majorHAnsi"/>
          <w:sz w:val="20"/>
          <w:szCs w:val="20"/>
          <w:lang w:val="en-GB"/>
        </w:rPr>
        <w:t xml:space="preserve"> clusters </w:t>
      </w:r>
      <w:r w:rsidR="00AE2D81" w:rsidRPr="00791445">
        <w:rPr>
          <w:rFonts w:ascii="Tw Cen MT" w:hAnsi="Tw Cen MT" w:cstheme="majorHAnsi"/>
          <w:sz w:val="20"/>
          <w:szCs w:val="20"/>
          <w:lang w:val="en-GB"/>
        </w:rPr>
        <w:t xml:space="preserve">and WGs) the </w:t>
      </w:r>
      <w:r w:rsidRPr="00791445">
        <w:rPr>
          <w:rFonts w:ascii="Tw Cen MT" w:hAnsi="Tw Cen MT" w:cstheme="majorHAnsi"/>
          <w:sz w:val="20"/>
          <w:szCs w:val="20"/>
          <w:lang w:val="en-GB"/>
        </w:rPr>
        <w:t xml:space="preserve">information they need, and </w:t>
      </w:r>
      <w:r w:rsidR="002071F5" w:rsidRPr="00791445">
        <w:rPr>
          <w:rFonts w:ascii="Tw Cen MT" w:hAnsi="Tw Cen MT" w:cstheme="majorHAnsi"/>
          <w:sz w:val="20"/>
          <w:szCs w:val="20"/>
          <w:lang w:val="en-GB"/>
        </w:rPr>
        <w:t xml:space="preserve">contribute his/her </w:t>
      </w:r>
      <w:r w:rsidR="00AE2D81" w:rsidRPr="00791445">
        <w:rPr>
          <w:rFonts w:ascii="Tw Cen MT" w:hAnsi="Tw Cen MT" w:cstheme="majorHAnsi"/>
          <w:sz w:val="20"/>
          <w:szCs w:val="20"/>
          <w:lang w:val="en-GB"/>
        </w:rPr>
        <w:t>team’s</w:t>
      </w:r>
      <w:r w:rsidRPr="00791445">
        <w:rPr>
          <w:rFonts w:ascii="Tw Cen MT" w:hAnsi="Tw Cen MT" w:cstheme="majorHAnsi"/>
          <w:sz w:val="20"/>
          <w:szCs w:val="20"/>
          <w:lang w:val="en-GB"/>
        </w:rPr>
        <w:t xml:space="preserve"> knowledge on how questions are best asked to provide this information.</w:t>
      </w:r>
    </w:p>
    <w:p w14:paraId="4B6E1AEA" w14:textId="62AA8750" w:rsidR="002552E7" w:rsidRPr="00C23923" w:rsidRDefault="006072C8" w:rsidP="00383B1A">
      <w:pPr>
        <w:pStyle w:val="NoSpacing"/>
        <w:numPr>
          <w:ilvl w:val="0"/>
          <w:numId w:val="24"/>
        </w:numPr>
        <w:ind w:left="567" w:hanging="283"/>
        <w:jc w:val="both"/>
        <w:rPr>
          <w:rFonts w:ascii="Tw Cen MT" w:hAnsi="Tw Cen MT" w:cstheme="majorHAnsi"/>
          <w:b/>
          <w:sz w:val="20"/>
          <w:szCs w:val="20"/>
          <w:lang w:val="en-GB"/>
        </w:rPr>
      </w:pPr>
      <w:r w:rsidRPr="00791445">
        <w:rPr>
          <w:rFonts w:ascii="Tw Cen MT" w:hAnsi="Tw Cen MT" w:cstheme="majorHAnsi"/>
          <w:b/>
          <w:bCs/>
          <w:sz w:val="20"/>
          <w:szCs w:val="20"/>
          <w:lang w:val="en-GB"/>
        </w:rPr>
        <w:t>The cultural</w:t>
      </w:r>
      <w:r w:rsidR="00AE2D81" w:rsidRPr="00791445">
        <w:rPr>
          <w:rFonts w:ascii="Tw Cen MT" w:hAnsi="Tw Cen MT" w:cstheme="majorHAnsi"/>
          <w:b/>
          <w:bCs/>
          <w:sz w:val="20"/>
          <w:szCs w:val="20"/>
          <w:lang w:val="en-GB"/>
        </w:rPr>
        <w:t>/context</w:t>
      </w:r>
      <w:r w:rsidR="00EC69D0" w:rsidRPr="00791445">
        <w:rPr>
          <w:rFonts w:ascii="Tw Cen MT" w:hAnsi="Tw Cen MT" w:cstheme="majorHAnsi"/>
          <w:b/>
          <w:bCs/>
          <w:sz w:val="20"/>
          <w:szCs w:val="20"/>
          <w:lang w:val="en-GB"/>
        </w:rPr>
        <w:t>ual</w:t>
      </w:r>
      <w:r w:rsidRPr="00791445">
        <w:rPr>
          <w:rFonts w:ascii="Tw Cen MT" w:hAnsi="Tw Cen MT" w:cstheme="majorHAnsi"/>
          <w:b/>
          <w:bCs/>
          <w:sz w:val="20"/>
          <w:szCs w:val="20"/>
          <w:lang w:val="en-GB"/>
        </w:rPr>
        <w:t xml:space="preserve"> expert</w:t>
      </w:r>
      <w:r w:rsidRPr="00791445">
        <w:rPr>
          <w:rFonts w:ascii="Tw Cen MT" w:hAnsi="Tw Cen MT" w:cstheme="majorHAnsi"/>
          <w:sz w:val="20"/>
          <w:szCs w:val="20"/>
          <w:lang w:val="en-GB"/>
        </w:rPr>
        <w:t xml:space="preserve">: </w:t>
      </w:r>
      <w:r w:rsidR="00F42977" w:rsidRPr="00791445">
        <w:rPr>
          <w:rFonts w:ascii="Tw Cen MT" w:hAnsi="Tw Cen MT" w:cstheme="majorHAnsi"/>
          <w:sz w:val="20"/>
          <w:szCs w:val="20"/>
          <w:lang w:val="en-GB"/>
        </w:rPr>
        <w:t>Gives</w:t>
      </w:r>
      <w:r w:rsidR="00F42977" w:rsidRPr="00C23923">
        <w:rPr>
          <w:rFonts w:ascii="Tw Cen MT" w:hAnsi="Tw Cen MT" w:cstheme="majorHAnsi"/>
          <w:sz w:val="20"/>
          <w:szCs w:val="20"/>
          <w:lang w:val="en-GB"/>
        </w:rPr>
        <w:t xml:space="preserve"> information on</w:t>
      </w:r>
      <w:r w:rsidR="00AE2D81" w:rsidRPr="00C23923">
        <w:rPr>
          <w:rFonts w:ascii="Tw Cen MT" w:hAnsi="Tw Cen MT" w:cstheme="majorHAnsi"/>
          <w:sz w:val="20"/>
          <w:szCs w:val="20"/>
          <w:lang w:val="en-GB"/>
        </w:rPr>
        <w:t xml:space="preserve"> </w:t>
      </w:r>
      <w:r w:rsidR="00607182" w:rsidRPr="00C23923">
        <w:rPr>
          <w:rFonts w:ascii="Tw Cen MT" w:hAnsi="Tw Cen MT" w:cstheme="majorHAnsi"/>
          <w:sz w:val="20"/>
          <w:szCs w:val="20"/>
          <w:lang w:val="en-GB"/>
        </w:rPr>
        <w:t>what</w:t>
      </w:r>
      <w:r w:rsidR="00AE2D81" w:rsidRPr="00C23923">
        <w:rPr>
          <w:rFonts w:ascii="Tw Cen MT" w:hAnsi="Tw Cen MT" w:cstheme="majorHAnsi"/>
          <w:sz w:val="20"/>
          <w:szCs w:val="20"/>
          <w:lang w:val="en-GB"/>
        </w:rPr>
        <w:t xml:space="preserve"> is</w:t>
      </w:r>
      <w:r w:rsidR="003F7221" w:rsidRPr="00C23923">
        <w:rPr>
          <w:rFonts w:ascii="Tw Cen MT" w:hAnsi="Tw Cen MT" w:cstheme="majorHAnsi"/>
          <w:sz w:val="20"/>
          <w:szCs w:val="20"/>
          <w:lang w:val="en-GB"/>
        </w:rPr>
        <w:t xml:space="preserve"> already known</w:t>
      </w:r>
      <w:r w:rsidR="00AE2D81" w:rsidRPr="00C23923">
        <w:rPr>
          <w:rFonts w:ascii="Tw Cen MT" w:hAnsi="Tw Cen MT" w:cstheme="majorHAnsi"/>
          <w:sz w:val="20"/>
          <w:szCs w:val="20"/>
          <w:lang w:val="en-GB"/>
        </w:rPr>
        <w:t>, what issues are worth paying specific attention to, in the context</w:t>
      </w:r>
      <w:r w:rsidR="003F7221" w:rsidRPr="00C23923">
        <w:rPr>
          <w:rFonts w:ascii="Tw Cen MT" w:hAnsi="Tw Cen MT" w:cstheme="majorHAnsi"/>
          <w:sz w:val="20"/>
          <w:szCs w:val="20"/>
          <w:lang w:val="en-GB"/>
        </w:rPr>
        <w:t>,</w:t>
      </w:r>
      <w:r w:rsidR="00AE2D81" w:rsidRPr="00C23923">
        <w:rPr>
          <w:rFonts w:ascii="Tw Cen MT" w:hAnsi="Tw Cen MT" w:cstheme="majorHAnsi"/>
          <w:sz w:val="20"/>
          <w:szCs w:val="20"/>
          <w:lang w:val="en-GB"/>
        </w:rPr>
        <w:t xml:space="preserve"> </w:t>
      </w:r>
      <w:r w:rsidR="00607182" w:rsidRPr="00C23923">
        <w:rPr>
          <w:rFonts w:ascii="Tw Cen MT" w:hAnsi="Tw Cen MT" w:cstheme="majorHAnsi"/>
          <w:sz w:val="20"/>
          <w:szCs w:val="20"/>
          <w:lang w:val="en-GB"/>
        </w:rPr>
        <w:t>what the cultural sensitivities are</w:t>
      </w:r>
      <w:r w:rsidR="00AE2D81" w:rsidRPr="00C23923">
        <w:rPr>
          <w:rFonts w:ascii="Tw Cen MT" w:hAnsi="Tw Cen MT" w:cstheme="majorHAnsi"/>
          <w:sz w:val="20"/>
          <w:szCs w:val="20"/>
          <w:lang w:val="en-GB"/>
        </w:rPr>
        <w:t xml:space="preserve">, and </w:t>
      </w:r>
      <w:r w:rsidR="003F7221" w:rsidRPr="00C23923">
        <w:rPr>
          <w:rFonts w:ascii="Tw Cen MT" w:hAnsi="Tw Cen MT" w:cstheme="majorHAnsi"/>
          <w:sz w:val="20"/>
          <w:szCs w:val="20"/>
          <w:lang w:val="en-GB"/>
        </w:rPr>
        <w:t xml:space="preserve">how to best </w:t>
      </w:r>
      <w:r w:rsidR="00AE2D81" w:rsidRPr="00C23923">
        <w:rPr>
          <w:rFonts w:ascii="Tw Cen MT" w:hAnsi="Tw Cen MT" w:cstheme="majorHAnsi"/>
          <w:sz w:val="20"/>
          <w:szCs w:val="20"/>
          <w:lang w:val="en-GB"/>
        </w:rPr>
        <w:t xml:space="preserve">obtain needed information in the context. </w:t>
      </w:r>
    </w:p>
    <w:p w14:paraId="7C92725C" w14:textId="66911A5D" w:rsidR="009F34B2" w:rsidRPr="00703D0B" w:rsidRDefault="009F34B2" w:rsidP="00703D0B">
      <w:pPr>
        <w:pStyle w:val="NoSpacing"/>
        <w:shd w:val="clear" w:color="auto" w:fill="E7E6E6" w:themeFill="background2"/>
        <w:spacing w:before="240"/>
        <w:jc w:val="both"/>
        <w:rPr>
          <w:rFonts w:ascii="Tw Cen MT" w:hAnsi="Tw Cen MT" w:cstheme="majorHAnsi"/>
          <w:i/>
          <w:iCs/>
          <w:sz w:val="20"/>
          <w:szCs w:val="20"/>
          <w:lang w:val="en-GB"/>
        </w:rPr>
      </w:pPr>
      <w:r w:rsidRPr="00703D0B">
        <w:rPr>
          <w:rFonts w:ascii="Tw Cen MT" w:hAnsi="Tw Cen MT" w:cstheme="majorHAnsi"/>
          <w:i/>
          <w:iCs/>
          <w:sz w:val="20"/>
          <w:szCs w:val="20"/>
          <w:lang w:val="en-GB"/>
        </w:rPr>
        <w:t>While DTM has the responsibility of collecting, processing and sharing results as soon as possible with partners, it is the responsibility of GBV sub-cluster coordinators and IMOs to interpret relevant results and use information for response.  IMOs and Coordinators should also identify the necessary changes to the questions over time. Example: The question “are women avoiding certain areas in the camp?” is included into the questionnaire, with the aim to find out whether women avoid certain areas – and to then do a follow up assessment finding out which areas women avoid and whether this is linked to risk of GBV. Month after month, the responses to this question are “no” for around 98% of key informants. This means that either a) there are no areas in the camp that women avoid or b) the question is not phrased in a way that yields a useful response. Therefore</w:t>
      </w:r>
      <w:r w:rsidR="002071F5" w:rsidRPr="00703D0B">
        <w:rPr>
          <w:rFonts w:ascii="Tw Cen MT" w:hAnsi="Tw Cen MT" w:cstheme="majorHAnsi"/>
          <w:i/>
          <w:iCs/>
          <w:sz w:val="20"/>
          <w:szCs w:val="20"/>
          <w:lang w:val="en-GB"/>
        </w:rPr>
        <w:t>,</w:t>
      </w:r>
      <w:r w:rsidRPr="00703D0B">
        <w:rPr>
          <w:rFonts w:ascii="Tw Cen MT" w:hAnsi="Tw Cen MT" w:cstheme="majorHAnsi"/>
          <w:i/>
          <w:iCs/>
          <w:sz w:val="20"/>
          <w:szCs w:val="20"/>
          <w:lang w:val="en-GB"/>
        </w:rPr>
        <w:t xml:space="preserve"> the GBV coordinator and IMO can either consider </w:t>
      </w:r>
      <w:r w:rsidR="009B7504" w:rsidRPr="00703D0B">
        <w:rPr>
          <w:rFonts w:ascii="Tw Cen MT" w:hAnsi="Tw Cen MT" w:cstheme="majorHAnsi"/>
          <w:i/>
          <w:iCs/>
          <w:sz w:val="20"/>
          <w:szCs w:val="20"/>
          <w:lang w:val="en-GB"/>
        </w:rPr>
        <w:t>rephrasing</w:t>
      </w:r>
      <w:r w:rsidRPr="00703D0B">
        <w:rPr>
          <w:rFonts w:ascii="Tw Cen MT" w:hAnsi="Tw Cen MT" w:cstheme="majorHAnsi"/>
          <w:i/>
          <w:iCs/>
          <w:sz w:val="20"/>
          <w:szCs w:val="20"/>
          <w:lang w:val="en-GB"/>
        </w:rPr>
        <w:t xml:space="preserve"> the question, to take it out, or to propose an alternative question that may better capture this information. </w:t>
      </w:r>
    </w:p>
    <w:p w14:paraId="1838D99F" w14:textId="07E3C2BF" w:rsidR="0001540A" w:rsidRDefault="0001540A" w:rsidP="0001540A">
      <w:pPr>
        <w:pStyle w:val="NoSpacing"/>
        <w:jc w:val="both"/>
        <w:rPr>
          <w:rFonts w:ascii="Tw Cen MT" w:hAnsi="Tw Cen MT" w:cstheme="majorHAnsi"/>
          <w:i/>
          <w:iCs/>
          <w:sz w:val="20"/>
          <w:szCs w:val="20"/>
          <w:lang w:val="en-GB"/>
        </w:rPr>
      </w:pPr>
    </w:p>
    <w:p w14:paraId="47B2BDBB" w14:textId="77777777" w:rsidR="001A0915" w:rsidRPr="00703D0B" w:rsidRDefault="001A0915" w:rsidP="0001540A">
      <w:pPr>
        <w:pStyle w:val="NoSpacing"/>
        <w:jc w:val="both"/>
        <w:rPr>
          <w:rFonts w:ascii="Tw Cen MT" w:hAnsi="Tw Cen MT" w:cstheme="majorHAnsi"/>
          <w:i/>
          <w:iCs/>
          <w:sz w:val="20"/>
          <w:szCs w:val="20"/>
          <w:lang w:val="en-GB"/>
        </w:rPr>
      </w:pPr>
    </w:p>
    <w:p w14:paraId="58017350" w14:textId="587E1AB2" w:rsidR="0001540A" w:rsidRPr="00F472D3" w:rsidRDefault="003F6DE3" w:rsidP="00F472D3">
      <w:pPr>
        <w:pStyle w:val="Heading1"/>
        <w:numPr>
          <w:ilvl w:val="0"/>
          <w:numId w:val="25"/>
        </w:numPr>
        <w:spacing w:before="0" w:line="240" w:lineRule="auto"/>
        <w:ind w:left="714" w:hanging="357"/>
        <w:rPr>
          <w:rFonts w:ascii="Tw Cen MT" w:hAnsi="Tw Cen MT"/>
          <w:i/>
          <w:iCs/>
          <w:color w:val="auto"/>
          <w:sz w:val="28"/>
          <w:szCs w:val="28"/>
          <w:u w:val="single"/>
          <w:lang w:val="en-GB"/>
        </w:rPr>
      </w:pPr>
      <w:bookmarkStart w:id="5" w:name="_Toc113354901"/>
      <w:r w:rsidRPr="00F472D3">
        <w:rPr>
          <w:rFonts w:ascii="Tw Cen MT" w:hAnsi="Tw Cen MT"/>
          <w:i/>
          <w:iCs/>
          <w:color w:val="auto"/>
          <w:sz w:val="28"/>
          <w:szCs w:val="28"/>
          <w:u w:val="single"/>
          <w:lang w:val="en-GB"/>
        </w:rPr>
        <w:t xml:space="preserve">What </w:t>
      </w:r>
      <w:r w:rsidR="00AE1585" w:rsidRPr="00F472D3">
        <w:rPr>
          <w:rFonts w:ascii="Tw Cen MT" w:hAnsi="Tw Cen MT"/>
          <w:i/>
          <w:iCs/>
          <w:color w:val="auto"/>
          <w:sz w:val="28"/>
          <w:szCs w:val="28"/>
          <w:u w:val="single"/>
          <w:lang w:val="en-GB"/>
        </w:rPr>
        <w:t>are the implications of</w:t>
      </w:r>
      <w:r w:rsidRPr="00F472D3">
        <w:rPr>
          <w:rFonts w:ascii="Tw Cen MT" w:hAnsi="Tw Cen MT"/>
          <w:i/>
          <w:iCs/>
          <w:color w:val="auto"/>
          <w:sz w:val="28"/>
          <w:szCs w:val="28"/>
          <w:u w:val="single"/>
          <w:lang w:val="en-GB"/>
        </w:rPr>
        <w:t xml:space="preserve"> the methodology behind DTM</w:t>
      </w:r>
      <w:r w:rsidR="00521CF5" w:rsidRPr="00F472D3">
        <w:rPr>
          <w:rFonts w:ascii="Tw Cen MT" w:hAnsi="Tw Cen MT"/>
          <w:i/>
          <w:iCs/>
          <w:color w:val="auto"/>
          <w:sz w:val="28"/>
          <w:szCs w:val="28"/>
          <w:u w:val="single"/>
          <w:lang w:val="en-GB"/>
        </w:rPr>
        <w:t xml:space="preserve"> MSLA</w:t>
      </w:r>
      <w:r w:rsidRPr="00F472D3">
        <w:rPr>
          <w:rFonts w:ascii="Tw Cen MT" w:hAnsi="Tw Cen MT"/>
          <w:i/>
          <w:iCs/>
          <w:color w:val="auto"/>
          <w:sz w:val="28"/>
          <w:szCs w:val="28"/>
          <w:u w:val="single"/>
          <w:lang w:val="en-GB"/>
        </w:rPr>
        <w:t>?</w:t>
      </w:r>
      <w:bookmarkEnd w:id="5"/>
    </w:p>
    <w:p w14:paraId="4AB1BA00" w14:textId="161B9F24" w:rsidR="008E51B9" w:rsidRPr="00C23923" w:rsidRDefault="0001540A" w:rsidP="0001540A">
      <w:pPr>
        <w:pStyle w:val="NoSpacing"/>
        <w:jc w:val="both"/>
        <w:rPr>
          <w:rFonts w:ascii="Tw Cen MT" w:hAnsi="Tw Cen MT" w:cstheme="majorHAnsi"/>
          <w:sz w:val="20"/>
          <w:szCs w:val="20"/>
          <w:lang w:val="en-GB"/>
        </w:rPr>
      </w:pPr>
      <w:r w:rsidRPr="00C23923">
        <w:rPr>
          <w:rFonts w:ascii="Tw Cen MT" w:hAnsi="Tw Cen MT" w:cstheme="majorHAnsi"/>
          <w:sz w:val="20"/>
          <w:szCs w:val="20"/>
          <w:lang w:val="en-GB"/>
        </w:rPr>
        <w:t xml:space="preserve">Like the questionnaire, the methodology </w:t>
      </w:r>
      <w:r w:rsidR="00AE2D81" w:rsidRPr="00C23923">
        <w:rPr>
          <w:rFonts w:ascii="Tw Cen MT" w:hAnsi="Tw Cen MT" w:cstheme="majorHAnsi"/>
          <w:sz w:val="20"/>
          <w:szCs w:val="20"/>
          <w:lang w:val="en-GB"/>
        </w:rPr>
        <w:t xml:space="preserve">may </w:t>
      </w:r>
      <w:r w:rsidRPr="00C23923">
        <w:rPr>
          <w:rFonts w:ascii="Tw Cen MT" w:hAnsi="Tw Cen MT" w:cstheme="majorHAnsi"/>
          <w:sz w:val="20"/>
          <w:szCs w:val="20"/>
          <w:lang w:val="en-GB"/>
        </w:rPr>
        <w:t xml:space="preserve">also differ. However, in most contexts, the questionnaire is administered through </w:t>
      </w:r>
      <w:r w:rsidR="00B25949" w:rsidRPr="00C23923">
        <w:rPr>
          <w:rFonts w:ascii="Tw Cen MT" w:hAnsi="Tw Cen MT" w:cstheme="majorHAnsi"/>
          <w:b/>
          <w:sz w:val="20"/>
          <w:szCs w:val="20"/>
          <w:lang w:val="en-GB"/>
        </w:rPr>
        <w:t>non-specialized</w:t>
      </w:r>
      <w:r w:rsidR="00B25949" w:rsidRPr="00C23923">
        <w:rPr>
          <w:rFonts w:ascii="Tw Cen MT" w:hAnsi="Tw Cen MT" w:cstheme="majorHAnsi"/>
          <w:sz w:val="20"/>
          <w:szCs w:val="20"/>
          <w:lang w:val="en-GB"/>
        </w:rPr>
        <w:t xml:space="preserve"> </w:t>
      </w:r>
      <w:r w:rsidRPr="00C23923">
        <w:rPr>
          <w:rFonts w:ascii="Tw Cen MT" w:hAnsi="Tw Cen MT" w:cstheme="majorHAnsi"/>
          <w:b/>
          <w:sz w:val="20"/>
          <w:szCs w:val="20"/>
          <w:lang w:val="en-GB"/>
        </w:rPr>
        <w:t>key informant interviews</w:t>
      </w:r>
      <w:r w:rsidR="008E51B9" w:rsidRPr="00C23923">
        <w:rPr>
          <w:rFonts w:ascii="Tw Cen MT" w:hAnsi="Tw Cen MT" w:cstheme="majorHAnsi"/>
          <w:b/>
          <w:sz w:val="20"/>
          <w:szCs w:val="20"/>
          <w:lang w:val="en-GB"/>
        </w:rPr>
        <w:t>.</w:t>
      </w:r>
      <w:r w:rsidRPr="00C23923">
        <w:rPr>
          <w:rFonts w:ascii="Tw Cen MT" w:hAnsi="Tw Cen MT" w:cstheme="majorHAnsi"/>
          <w:b/>
          <w:sz w:val="20"/>
          <w:szCs w:val="20"/>
          <w:lang w:val="en-GB"/>
        </w:rPr>
        <w:t xml:space="preserve"> </w:t>
      </w:r>
      <w:r w:rsidR="005818A3" w:rsidRPr="00C23923">
        <w:rPr>
          <w:rFonts w:ascii="Tw Cen MT" w:hAnsi="Tw Cen MT" w:cstheme="majorHAnsi"/>
          <w:sz w:val="20"/>
          <w:szCs w:val="20"/>
          <w:lang w:val="en-GB"/>
        </w:rPr>
        <w:t>T</w:t>
      </w:r>
      <w:r w:rsidR="008E51B9" w:rsidRPr="00C23923">
        <w:rPr>
          <w:rFonts w:ascii="Tw Cen MT" w:hAnsi="Tw Cen MT" w:cstheme="majorHAnsi"/>
          <w:sz w:val="20"/>
          <w:szCs w:val="20"/>
          <w:lang w:val="en-GB"/>
        </w:rPr>
        <w:t xml:space="preserve">hese key informant interviews are </w:t>
      </w:r>
      <w:r w:rsidR="005818A3" w:rsidRPr="00C23923">
        <w:rPr>
          <w:rFonts w:ascii="Tw Cen MT" w:hAnsi="Tw Cen MT" w:cstheme="majorHAnsi"/>
          <w:sz w:val="20"/>
          <w:szCs w:val="20"/>
          <w:lang w:val="en-GB"/>
        </w:rPr>
        <w:t xml:space="preserve">normally </w:t>
      </w:r>
      <w:r w:rsidR="008E51B9" w:rsidRPr="00C23923">
        <w:rPr>
          <w:rFonts w:ascii="Tw Cen MT" w:hAnsi="Tw Cen MT" w:cstheme="majorHAnsi"/>
          <w:sz w:val="20"/>
          <w:szCs w:val="20"/>
          <w:lang w:val="en-GB"/>
        </w:rPr>
        <w:t>done face to face</w:t>
      </w:r>
      <w:r w:rsidR="005818A3" w:rsidRPr="00C23923">
        <w:rPr>
          <w:rFonts w:ascii="Tw Cen MT" w:hAnsi="Tw Cen MT" w:cstheme="majorHAnsi"/>
          <w:sz w:val="20"/>
          <w:szCs w:val="20"/>
          <w:lang w:val="en-GB"/>
        </w:rPr>
        <w:t>. However, when access is not possible</w:t>
      </w:r>
      <w:r w:rsidR="008E51B9" w:rsidRPr="00C23923">
        <w:rPr>
          <w:rFonts w:ascii="Tw Cen MT" w:hAnsi="Tw Cen MT" w:cstheme="majorHAnsi"/>
          <w:sz w:val="20"/>
          <w:szCs w:val="20"/>
          <w:lang w:val="en-GB"/>
        </w:rPr>
        <w:t>,</w:t>
      </w:r>
      <w:r w:rsidR="005818A3" w:rsidRPr="00C23923">
        <w:rPr>
          <w:rFonts w:ascii="Tw Cen MT" w:hAnsi="Tw Cen MT" w:cstheme="majorHAnsi"/>
          <w:sz w:val="20"/>
          <w:szCs w:val="20"/>
          <w:lang w:val="en-GB"/>
        </w:rPr>
        <w:t xml:space="preserve"> they may be done </w:t>
      </w:r>
      <w:r w:rsidR="008E51B9" w:rsidRPr="00C23923">
        <w:rPr>
          <w:rFonts w:ascii="Tw Cen MT" w:hAnsi="Tw Cen MT" w:cstheme="majorHAnsi"/>
          <w:sz w:val="20"/>
          <w:szCs w:val="20"/>
          <w:lang w:val="en-GB"/>
        </w:rPr>
        <w:t xml:space="preserve">by phone. </w:t>
      </w:r>
    </w:p>
    <w:p w14:paraId="128A0C15" w14:textId="4A695545" w:rsidR="00F12770" w:rsidRPr="00C23923" w:rsidRDefault="00F12770" w:rsidP="0001540A">
      <w:pPr>
        <w:pStyle w:val="NoSpacing"/>
        <w:jc w:val="both"/>
        <w:rPr>
          <w:rFonts w:ascii="Tw Cen MT" w:hAnsi="Tw Cen MT" w:cstheme="majorHAnsi"/>
          <w:sz w:val="20"/>
          <w:szCs w:val="20"/>
          <w:lang w:val="en-GB"/>
        </w:rPr>
      </w:pPr>
    </w:p>
    <w:p w14:paraId="5D304526" w14:textId="100F8A6F" w:rsidR="007F5E63" w:rsidRPr="00C23923" w:rsidRDefault="002071F5" w:rsidP="002071F5">
      <w:pPr>
        <w:pStyle w:val="NoSpacing"/>
        <w:jc w:val="both"/>
        <w:rPr>
          <w:rFonts w:ascii="Tw Cen MT" w:hAnsi="Tw Cen MT" w:cstheme="majorHAnsi"/>
          <w:sz w:val="20"/>
          <w:szCs w:val="20"/>
          <w:lang w:val="en-GB"/>
        </w:rPr>
      </w:pPr>
      <w:r w:rsidRPr="00C23923">
        <w:rPr>
          <w:rFonts w:ascii="Tw Cen MT" w:hAnsi="Tw Cen MT" w:cstheme="majorHAnsi"/>
          <w:b/>
          <w:sz w:val="20"/>
          <w:szCs w:val="20"/>
          <w:lang w:val="en-GB"/>
        </w:rPr>
        <w:t xml:space="preserve">Non-specialized key </w:t>
      </w:r>
      <w:r w:rsidRPr="00791445">
        <w:rPr>
          <w:rFonts w:ascii="Tw Cen MT" w:hAnsi="Tw Cen MT" w:cstheme="majorHAnsi"/>
          <w:b/>
          <w:sz w:val="20"/>
          <w:szCs w:val="20"/>
          <w:lang w:val="en-GB"/>
        </w:rPr>
        <w:t xml:space="preserve">informants </w:t>
      </w:r>
      <w:r w:rsidRPr="00791445">
        <w:rPr>
          <w:rFonts w:ascii="Tw Cen MT" w:hAnsi="Tw Cen MT" w:cstheme="majorHAnsi"/>
          <w:sz w:val="20"/>
          <w:szCs w:val="20"/>
          <w:lang w:val="en-GB"/>
        </w:rPr>
        <w:t>u</w:t>
      </w:r>
      <w:r w:rsidR="00AF514F" w:rsidRPr="00791445">
        <w:rPr>
          <w:rFonts w:ascii="Tw Cen MT" w:hAnsi="Tw Cen MT" w:cstheme="majorHAnsi"/>
          <w:sz w:val="20"/>
          <w:szCs w:val="20"/>
          <w:lang w:val="en-GB"/>
        </w:rPr>
        <w:t>sually belong to</w:t>
      </w:r>
      <w:r w:rsidR="008E51B9" w:rsidRPr="00791445">
        <w:rPr>
          <w:rFonts w:ascii="Tw Cen MT" w:hAnsi="Tw Cen MT" w:cstheme="majorHAnsi"/>
          <w:sz w:val="20"/>
          <w:szCs w:val="20"/>
          <w:lang w:val="en-GB"/>
        </w:rPr>
        <w:t xml:space="preserve"> the affected population</w:t>
      </w:r>
      <w:r w:rsidR="00AF514F" w:rsidRPr="00791445">
        <w:rPr>
          <w:rFonts w:ascii="Tw Cen MT" w:hAnsi="Tw Cen MT" w:cstheme="majorHAnsi"/>
          <w:sz w:val="20"/>
          <w:szCs w:val="20"/>
          <w:lang w:val="en-GB"/>
        </w:rPr>
        <w:t xml:space="preserve"> </w:t>
      </w:r>
      <w:r w:rsidR="008E51B9" w:rsidRPr="00791445">
        <w:rPr>
          <w:rFonts w:ascii="Tw Cen MT" w:hAnsi="Tw Cen MT" w:cstheme="majorHAnsi"/>
          <w:sz w:val="20"/>
          <w:szCs w:val="20"/>
          <w:lang w:val="en-GB"/>
        </w:rPr>
        <w:t>in the</w:t>
      </w:r>
      <w:r w:rsidR="00AF514F" w:rsidRPr="00791445">
        <w:rPr>
          <w:rFonts w:ascii="Tw Cen MT" w:hAnsi="Tw Cen MT" w:cstheme="majorHAnsi"/>
          <w:sz w:val="20"/>
          <w:szCs w:val="20"/>
          <w:lang w:val="en-GB"/>
        </w:rPr>
        <w:t xml:space="preserve"> assessed location (e.g., an Internally Displaced Person, a community leader, a member of the IDP committee</w:t>
      </w:r>
      <w:r w:rsidR="00607182" w:rsidRPr="00791445">
        <w:rPr>
          <w:rFonts w:ascii="Tw Cen MT" w:hAnsi="Tw Cen MT" w:cstheme="majorHAnsi"/>
          <w:sz w:val="20"/>
          <w:szCs w:val="20"/>
          <w:lang w:val="en-GB"/>
        </w:rPr>
        <w:t>, etc.</w:t>
      </w:r>
      <w:r w:rsidR="00AF514F" w:rsidRPr="00791445">
        <w:rPr>
          <w:rFonts w:ascii="Tw Cen MT" w:hAnsi="Tw Cen MT" w:cstheme="majorHAnsi"/>
          <w:sz w:val="20"/>
          <w:szCs w:val="20"/>
          <w:lang w:val="en-GB"/>
        </w:rPr>
        <w:t>)</w:t>
      </w:r>
      <w:r w:rsidR="008E51B9" w:rsidRPr="00791445">
        <w:rPr>
          <w:rFonts w:ascii="Tw Cen MT" w:hAnsi="Tw Cen MT" w:cstheme="majorHAnsi"/>
          <w:sz w:val="20"/>
          <w:szCs w:val="20"/>
          <w:lang w:val="en-GB"/>
        </w:rPr>
        <w:t xml:space="preserve">. </w:t>
      </w:r>
      <w:r w:rsidR="00AF514F" w:rsidRPr="00791445">
        <w:rPr>
          <w:rFonts w:ascii="Tw Cen MT" w:hAnsi="Tw Cen MT" w:cstheme="majorHAnsi"/>
          <w:sz w:val="20"/>
          <w:szCs w:val="20"/>
          <w:lang w:val="en-GB"/>
        </w:rPr>
        <w:t xml:space="preserve">Key informants are selected on the basis of their knowledge of the community and </w:t>
      </w:r>
      <w:r w:rsidR="007F5E63" w:rsidRPr="00791445">
        <w:rPr>
          <w:rFonts w:ascii="Tw Cen MT" w:hAnsi="Tw Cen MT" w:cstheme="majorHAnsi"/>
          <w:sz w:val="20"/>
          <w:szCs w:val="20"/>
          <w:lang w:val="en-GB"/>
        </w:rPr>
        <w:t xml:space="preserve">provide answers to the questions to his/her best knowledge. </w:t>
      </w:r>
      <w:r w:rsidR="00AF514F" w:rsidRPr="00791445">
        <w:rPr>
          <w:rFonts w:ascii="Tw Cen MT" w:hAnsi="Tw Cen MT" w:cstheme="majorHAnsi"/>
          <w:sz w:val="20"/>
          <w:szCs w:val="20"/>
          <w:lang w:val="en-GB"/>
        </w:rPr>
        <w:t xml:space="preserve"> </w:t>
      </w:r>
      <w:r w:rsidR="00121CF1" w:rsidRPr="00791445">
        <w:rPr>
          <w:rFonts w:ascii="Tw Cen MT" w:hAnsi="Tw Cen MT" w:cstheme="majorHAnsi"/>
          <w:sz w:val="20"/>
          <w:szCs w:val="20"/>
          <w:lang w:val="en-US"/>
        </w:rPr>
        <w:t>However, key informants interviewed will mostly not be GBV experts, therefore, many in-depth questions related to GBV that require expert knowledge will not be included in the DTM field companion.</w:t>
      </w:r>
      <w:r w:rsidR="00121CF1" w:rsidRPr="00791445">
        <w:rPr>
          <w:rFonts w:ascii="Tw Cen MT" w:hAnsi="Tw Cen MT" w:cstheme="majorHAnsi"/>
          <w:sz w:val="20"/>
          <w:szCs w:val="20"/>
          <w:lang w:val="en-GB"/>
        </w:rPr>
        <w:t xml:space="preserve"> </w:t>
      </w:r>
      <w:r w:rsidR="00AF514F" w:rsidRPr="00791445">
        <w:rPr>
          <w:rFonts w:ascii="Tw Cen MT" w:hAnsi="Tw Cen MT" w:cstheme="majorHAnsi"/>
          <w:sz w:val="20"/>
          <w:szCs w:val="20"/>
          <w:lang w:val="en-GB"/>
        </w:rPr>
        <w:t xml:space="preserve">It is </w:t>
      </w:r>
      <w:r w:rsidR="00121CF1" w:rsidRPr="00791445">
        <w:rPr>
          <w:rFonts w:ascii="Tw Cen MT" w:hAnsi="Tw Cen MT" w:cstheme="majorHAnsi"/>
          <w:sz w:val="20"/>
          <w:szCs w:val="20"/>
          <w:lang w:val="en-GB"/>
        </w:rPr>
        <w:t xml:space="preserve">also </w:t>
      </w:r>
      <w:r w:rsidR="00AF514F" w:rsidRPr="00791445">
        <w:rPr>
          <w:rFonts w:ascii="Tw Cen MT" w:hAnsi="Tw Cen MT" w:cstheme="majorHAnsi"/>
          <w:sz w:val="20"/>
          <w:szCs w:val="20"/>
          <w:lang w:val="en-GB"/>
        </w:rPr>
        <w:t xml:space="preserve">important to remember that in </w:t>
      </w:r>
      <w:r w:rsidR="00B25949" w:rsidRPr="00791445">
        <w:rPr>
          <w:rFonts w:ascii="Tw Cen MT" w:hAnsi="Tw Cen MT" w:cstheme="majorHAnsi"/>
          <w:sz w:val="20"/>
          <w:szCs w:val="20"/>
          <w:lang w:val="en-GB"/>
        </w:rPr>
        <w:t xml:space="preserve">many </w:t>
      </w:r>
      <w:r w:rsidR="00AF514F" w:rsidRPr="00791445">
        <w:rPr>
          <w:rFonts w:ascii="Tw Cen MT" w:hAnsi="Tw Cen MT" w:cstheme="majorHAnsi"/>
          <w:sz w:val="20"/>
          <w:szCs w:val="20"/>
          <w:lang w:val="en-GB"/>
        </w:rPr>
        <w:t>cases, the</w:t>
      </w:r>
      <w:r w:rsidR="007F5E63" w:rsidRPr="00791445">
        <w:rPr>
          <w:rFonts w:ascii="Tw Cen MT" w:hAnsi="Tw Cen MT" w:cstheme="majorHAnsi"/>
          <w:sz w:val="20"/>
          <w:szCs w:val="20"/>
          <w:lang w:val="en-GB"/>
        </w:rPr>
        <w:t xml:space="preserve"> key informant </w:t>
      </w:r>
      <w:r w:rsidR="00B25949" w:rsidRPr="00791445">
        <w:rPr>
          <w:rFonts w:ascii="Tw Cen MT" w:hAnsi="Tw Cen MT" w:cstheme="majorHAnsi"/>
          <w:sz w:val="20"/>
          <w:szCs w:val="20"/>
          <w:lang w:val="en-GB"/>
        </w:rPr>
        <w:t>may be</w:t>
      </w:r>
      <w:r w:rsidR="007F5E63" w:rsidRPr="00791445">
        <w:rPr>
          <w:rFonts w:ascii="Tw Cen MT" w:hAnsi="Tw Cen MT" w:cstheme="majorHAnsi"/>
          <w:sz w:val="20"/>
          <w:szCs w:val="20"/>
          <w:lang w:val="en-GB"/>
        </w:rPr>
        <w:t xml:space="preserve"> </w:t>
      </w:r>
      <w:r w:rsidR="007F5E63" w:rsidRPr="00791445">
        <w:rPr>
          <w:rFonts w:ascii="Tw Cen MT" w:hAnsi="Tw Cen MT" w:cstheme="majorHAnsi"/>
          <w:i/>
          <w:sz w:val="20"/>
          <w:szCs w:val="20"/>
          <w:lang w:val="en-GB"/>
        </w:rPr>
        <w:t>male.</w:t>
      </w:r>
      <w:r w:rsidR="007F5E63" w:rsidRPr="00791445">
        <w:rPr>
          <w:rFonts w:ascii="Tw Cen MT" w:hAnsi="Tw Cen MT" w:cstheme="majorHAnsi"/>
          <w:sz w:val="20"/>
          <w:szCs w:val="20"/>
          <w:lang w:val="en-GB"/>
        </w:rPr>
        <w:t xml:space="preserve"> The number of interview</w:t>
      </w:r>
      <w:r w:rsidR="00002DDB" w:rsidRPr="00791445">
        <w:rPr>
          <w:rFonts w:ascii="Tw Cen MT" w:hAnsi="Tw Cen MT" w:cstheme="majorHAnsi"/>
          <w:sz w:val="20"/>
          <w:szCs w:val="20"/>
          <w:lang w:val="en-GB"/>
        </w:rPr>
        <w:t>ee</w:t>
      </w:r>
      <w:r w:rsidR="007F5E63" w:rsidRPr="00791445">
        <w:rPr>
          <w:rFonts w:ascii="Tw Cen MT" w:hAnsi="Tw Cen MT" w:cstheme="majorHAnsi"/>
          <w:sz w:val="20"/>
          <w:szCs w:val="20"/>
          <w:lang w:val="en-GB"/>
        </w:rPr>
        <w:t xml:space="preserve">s per area </w:t>
      </w:r>
      <w:r w:rsidR="007F5E63" w:rsidRPr="00791445">
        <w:rPr>
          <w:rFonts w:ascii="Tw Cen MT" w:hAnsi="Tw Cen MT" w:cstheme="majorHAnsi"/>
          <w:i/>
          <w:sz w:val="20"/>
          <w:szCs w:val="20"/>
          <w:lang w:val="en-GB"/>
        </w:rPr>
        <w:t>differs per context</w:t>
      </w:r>
      <w:r w:rsidR="007F5E63" w:rsidRPr="00791445">
        <w:rPr>
          <w:rFonts w:ascii="Tw Cen MT" w:hAnsi="Tw Cen MT" w:cstheme="majorHAnsi"/>
          <w:sz w:val="20"/>
          <w:szCs w:val="20"/>
          <w:lang w:val="en-GB"/>
        </w:rPr>
        <w:t>.</w:t>
      </w:r>
      <w:r w:rsidR="007F5E63" w:rsidRPr="00C23923">
        <w:rPr>
          <w:rFonts w:ascii="Tw Cen MT" w:hAnsi="Tw Cen MT" w:cstheme="majorHAnsi"/>
          <w:sz w:val="20"/>
          <w:szCs w:val="20"/>
          <w:lang w:val="en-GB"/>
        </w:rPr>
        <w:t xml:space="preserve"> </w:t>
      </w:r>
    </w:p>
    <w:p w14:paraId="716B750D" w14:textId="77777777" w:rsidR="00C8216B" w:rsidRPr="00C23923" w:rsidRDefault="00C8216B" w:rsidP="005D25D1">
      <w:pPr>
        <w:pStyle w:val="NoSpacing"/>
        <w:jc w:val="both"/>
        <w:rPr>
          <w:rFonts w:ascii="Tw Cen MT" w:hAnsi="Tw Cen MT" w:cstheme="majorHAnsi"/>
          <w:sz w:val="20"/>
          <w:szCs w:val="20"/>
          <w:lang w:val="en-GB"/>
        </w:rPr>
      </w:pPr>
    </w:p>
    <w:p w14:paraId="79310C17" w14:textId="00614BB7" w:rsidR="00002DDB" w:rsidRPr="00C23923" w:rsidRDefault="008E51B9" w:rsidP="0001540A">
      <w:pPr>
        <w:pStyle w:val="NoSpacing"/>
        <w:jc w:val="both"/>
        <w:rPr>
          <w:rFonts w:ascii="Tw Cen MT" w:hAnsi="Tw Cen MT" w:cstheme="majorHAnsi"/>
          <w:sz w:val="20"/>
          <w:szCs w:val="20"/>
          <w:lang w:val="en-GB"/>
        </w:rPr>
      </w:pPr>
      <w:r w:rsidRPr="00C23923">
        <w:rPr>
          <w:rFonts w:ascii="Tw Cen MT" w:hAnsi="Tw Cen MT" w:cstheme="majorHAnsi"/>
          <w:b/>
          <w:sz w:val="20"/>
          <w:szCs w:val="20"/>
          <w:lang w:val="en-GB"/>
        </w:rPr>
        <w:t>Enumerators</w:t>
      </w:r>
      <w:r w:rsidR="0001540A" w:rsidRPr="00C23923">
        <w:rPr>
          <w:rFonts w:ascii="Tw Cen MT" w:hAnsi="Tw Cen MT" w:cstheme="majorHAnsi"/>
          <w:b/>
          <w:sz w:val="20"/>
          <w:szCs w:val="20"/>
          <w:lang w:val="en-GB"/>
        </w:rPr>
        <w:t xml:space="preserve"> </w:t>
      </w:r>
      <w:r w:rsidR="0001540A" w:rsidRPr="00C23923">
        <w:rPr>
          <w:rFonts w:ascii="Tw Cen MT" w:hAnsi="Tw Cen MT" w:cstheme="majorHAnsi"/>
          <w:sz w:val="20"/>
          <w:szCs w:val="20"/>
          <w:lang w:val="en-GB"/>
        </w:rPr>
        <w:t>who are locally hired and trained in aspects of</w:t>
      </w:r>
      <w:r w:rsidRPr="00C23923">
        <w:rPr>
          <w:rFonts w:ascii="Tw Cen MT" w:hAnsi="Tw Cen MT" w:cstheme="majorHAnsi"/>
          <w:sz w:val="20"/>
          <w:szCs w:val="20"/>
          <w:lang w:val="en-GB"/>
        </w:rPr>
        <w:t xml:space="preserve"> consent,</w:t>
      </w:r>
      <w:r w:rsidR="0001540A" w:rsidRPr="00C23923">
        <w:rPr>
          <w:rFonts w:ascii="Tw Cen MT" w:hAnsi="Tw Cen MT" w:cstheme="majorHAnsi"/>
          <w:sz w:val="20"/>
          <w:szCs w:val="20"/>
          <w:lang w:val="en-GB"/>
        </w:rPr>
        <w:t xml:space="preserve"> data collection, the DTM questionnaire, </w:t>
      </w:r>
      <w:r w:rsidRPr="00C23923">
        <w:rPr>
          <w:rFonts w:ascii="Tw Cen MT" w:hAnsi="Tw Cen MT" w:cstheme="majorHAnsi"/>
          <w:sz w:val="20"/>
          <w:szCs w:val="20"/>
          <w:lang w:val="en-GB"/>
        </w:rPr>
        <w:t xml:space="preserve">etc. are carrying out these interviews. </w:t>
      </w:r>
    </w:p>
    <w:p w14:paraId="2FA26088" w14:textId="77777777" w:rsidR="00002DDB" w:rsidRPr="00C23923" w:rsidRDefault="00002DDB" w:rsidP="0001540A">
      <w:pPr>
        <w:pStyle w:val="NoSpacing"/>
        <w:jc w:val="both"/>
        <w:rPr>
          <w:rFonts w:ascii="Tw Cen MT" w:hAnsi="Tw Cen MT" w:cstheme="majorHAnsi"/>
          <w:sz w:val="20"/>
          <w:szCs w:val="20"/>
          <w:lang w:val="en-GB"/>
        </w:rPr>
      </w:pPr>
    </w:p>
    <w:p w14:paraId="70ABB4AE" w14:textId="67A31674" w:rsidR="00002DDB" w:rsidRDefault="00002DDB" w:rsidP="0001540A">
      <w:pPr>
        <w:pStyle w:val="NoSpacing"/>
        <w:jc w:val="both"/>
        <w:rPr>
          <w:rFonts w:ascii="Tw Cen MT" w:hAnsi="Tw Cen MT" w:cstheme="majorHAnsi"/>
          <w:b/>
          <w:bCs/>
          <w:sz w:val="20"/>
          <w:szCs w:val="20"/>
          <w:lang w:val="en-GB"/>
        </w:rPr>
      </w:pPr>
      <w:r w:rsidRPr="00C23923">
        <w:rPr>
          <w:rFonts w:ascii="Tw Cen MT" w:hAnsi="Tw Cen MT" w:cstheme="majorHAnsi"/>
          <w:sz w:val="20"/>
          <w:szCs w:val="20"/>
          <w:lang w:val="en-GB"/>
        </w:rPr>
        <w:t>As neither Key Informants nor</w:t>
      </w:r>
      <w:r w:rsidR="008E51B9" w:rsidRPr="00C23923">
        <w:rPr>
          <w:rFonts w:ascii="Tw Cen MT" w:hAnsi="Tw Cen MT" w:cstheme="majorHAnsi"/>
          <w:sz w:val="20"/>
          <w:szCs w:val="20"/>
          <w:lang w:val="en-GB"/>
        </w:rPr>
        <w:t xml:space="preserve"> enumerators are GBV experts</w:t>
      </w:r>
      <w:r w:rsidRPr="00C23923">
        <w:rPr>
          <w:rFonts w:ascii="Tw Cen MT" w:hAnsi="Tw Cen MT" w:cstheme="majorHAnsi"/>
          <w:sz w:val="20"/>
          <w:szCs w:val="20"/>
          <w:lang w:val="en-GB"/>
        </w:rPr>
        <w:t xml:space="preserve">, </w:t>
      </w:r>
      <w:r w:rsidR="008E51B9" w:rsidRPr="00C23923">
        <w:rPr>
          <w:rFonts w:ascii="Tw Cen MT" w:hAnsi="Tw Cen MT" w:cstheme="majorHAnsi"/>
          <w:b/>
          <w:bCs/>
          <w:sz w:val="20"/>
          <w:szCs w:val="20"/>
          <w:lang w:val="en-GB"/>
        </w:rPr>
        <w:t xml:space="preserve">the type of questions asked on GBV should be carefully considered. </w:t>
      </w:r>
    </w:p>
    <w:p w14:paraId="4B11780C" w14:textId="77777777" w:rsidR="00002DDB" w:rsidRPr="00C23923" w:rsidRDefault="00002DDB" w:rsidP="0001540A">
      <w:pPr>
        <w:pStyle w:val="NoSpacing"/>
        <w:jc w:val="both"/>
        <w:rPr>
          <w:rFonts w:ascii="Tw Cen MT" w:hAnsi="Tw Cen MT" w:cstheme="majorHAnsi"/>
          <w:sz w:val="20"/>
          <w:szCs w:val="20"/>
          <w:lang w:val="en-GB"/>
        </w:rPr>
      </w:pPr>
    </w:p>
    <w:p w14:paraId="1D7E6DEE" w14:textId="164C089F" w:rsidR="00002DDB" w:rsidRPr="00203C10" w:rsidRDefault="00002DDB" w:rsidP="00197C3C">
      <w:pPr>
        <w:pStyle w:val="Heading2"/>
        <w:shd w:val="clear" w:color="auto" w:fill="E7E6E6" w:themeFill="background2"/>
        <w:spacing w:before="0" w:line="240" w:lineRule="auto"/>
        <w:rPr>
          <w:rFonts w:ascii="Tw Cen MT" w:hAnsi="Tw Cen MT"/>
          <w:b/>
          <w:bCs/>
          <w:i/>
          <w:iCs/>
          <w:color w:val="auto"/>
          <w:sz w:val="24"/>
          <w:szCs w:val="24"/>
          <w:lang w:val="en-GB"/>
        </w:rPr>
      </w:pPr>
      <w:bookmarkStart w:id="6" w:name="_Toc113354902"/>
      <w:r w:rsidRPr="00203C10">
        <w:rPr>
          <w:rFonts w:ascii="Tw Cen MT" w:hAnsi="Tw Cen MT"/>
          <w:b/>
          <w:bCs/>
          <w:i/>
          <w:iCs/>
          <w:color w:val="auto"/>
          <w:sz w:val="24"/>
          <w:szCs w:val="24"/>
          <w:lang w:val="en-GB"/>
        </w:rPr>
        <w:t>Safely Responding to Incident Disclosures</w:t>
      </w:r>
      <w:bookmarkEnd w:id="6"/>
    </w:p>
    <w:p w14:paraId="5A015020" w14:textId="5AA7CDA3" w:rsidR="0001540A" w:rsidRPr="00F472D3" w:rsidRDefault="008E51B9" w:rsidP="00197C3C">
      <w:pPr>
        <w:pStyle w:val="NoSpacing"/>
        <w:shd w:val="clear" w:color="auto" w:fill="E7E6E6" w:themeFill="background2"/>
        <w:rPr>
          <w:rFonts w:ascii="Tw Cen MT" w:hAnsi="Tw Cen MT" w:cstheme="majorHAnsi"/>
          <w:i/>
          <w:sz w:val="20"/>
          <w:szCs w:val="20"/>
          <w:lang w:val="en-GB"/>
        </w:rPr>
      </w:pPr>
      <w:r w:rsidRPr="00F472D3">
        <w:rPr>
          <w:rFonts w:ascii="Tw Cen MT" w:hAnsi="Tw Cen MT" w:cstheme="majorHAnsi"/>
          <w:i/>
          <w:sz w:val="20"/>
          <w:szCs w:val="20"/>
          <w:lang w:val="en-GB"/>
        </w:rPr>
        <w:t xml:space="preserve">Enumerators </w:t>
      </w:r>
      <w:r w:rsidR="00B25949" w:rsidRPr="00F472D3">
        <w:rPr>
          <w:rFonts w:ascii="Tw Cen MT" w:hAnsi="Tw Cen MT" w:cstheme="majorHAnsi"/>
          <w:i/>
          <w:sz w:val="20"/>
          <w:szCs w:val="20"/>
          <w:lang w:val="en-GB"/>
        </w:rPr>
        <w:t xml:space="preserve">must be </w:t>
      </w:r>
      <w:r w:rsidRPr="00F472D3">
        <w:rPr>
          <w:rFonts w:ascii="Tw Cen MT" w:hAnsi="Tw Cen MT" w:cstheme="majorHAnsi"/>
          <w:i/>
          <w:sz w:val="20"/>
          <w:szCs w:val="20"/>
          <w:lang w:val="en-GB"/>
        </w:rPr>
        <w:t xml:space="preserve">trained on referring people to GBV services </w:t>
      </w:r>
      <w:r w:rsidR="00AF514F" w:rsidRPr="00F472D3">
        <w:rPr>
          <w:rFonts w:ascii="Tw Cen MT" w:hAnsi="Tw Cen MT" w:cstheme="majorHAnsi"/>
          <w:i/>
          <w:sz w:val="20"/>
          <w:szCs w:val="20"/>
          <w:lang w:val="en-GB"/>
        </w:rPr>
        <w:t xml:space="preserve">when </w:t>
      </w:r>
      <w:r w:rsidRPr="00F472D3">
        <w:rPr>
          <w:rFonts w:ascii="Tw Cen MT" w:hAnsi="Tw Cen MT" w:cstheme="majorHAnsi"/>
          <w:i/>
          <w:sz w:val="20"/>
          <w:szCs w:val="20"/>
          <w:lang w:val="en-GB"/>
        </w:rPr>
        <w:t>an issue come</w:t>
      </w:r>
      <w:r w:rsidR="00AF514F" w:rsidRPr="00F472D3">
        <w:rPr>
          <w:rFonts w:ascii="Tw Cen MT" w:hAnsi="Tw Cen MT" w:cstheme="majorHAnsi"/>
          <w:i/>
          <w:sz w:val="20"/>
          <w:szCs w:val="20"/>
          <w:lang w:val="en-GB"/>
        </w:rPr>
        <w:t>s</w:t>
      </w:r>
      <w:r w:rsidRPr="00F472D3">
        <w:rPr>
          <w:rFonts w:ascii="Tw Cen MT" w:hAnsi="Tw Cen MT" w:cstheme="majorHAnsi"/>
          <w:i/>
          <w:sz w:val="20"/>
          <w:szCs w:val="20"/>
          <w:lang w:val="en-GB"/>
        </w:rPr>
        <w:t xml:space="preserve"> up during an interview</w:t>
      </w:r>
      <w:r w:rsidR="007F5E63" w:rsidRPr="00F472D3">
        <w:rPr>
          <w:rFonts w:ascii="Tw Cen MT" w:hAnsi="Tw Cen MT" w:cstheme="majorHAnsi"/>
          <w:i/>
          <w:sz w:val="20"/>
          <w:szCs w:val="20"/>
          <w:lang w:val="en-GB"/>
        </w:rPr>
        <w:t xml:space="preserve"> – however, questions should not probe for such issues to be discussed</w:t>
      </w:r>
      <w:r w:rsidRPr="00F472D3">
        <w:rPr>
          <w:rFonts w:ascii="Tw Cen MT" w:hAnsi="Tw Cen MT" w:cstheme="majorHAnsi"/>
          <w:i/>
          <w:sz w:val="20"/>
          <w:szCs w:val="20"/>
          <w:lang w:val="en-GB"/>
        </w:rPr>
        <w:t>.</w:t>
      </w:r>
      <w:r w:rsidR="00AF514F" w:rsidRPr="00F472D3">
        <w:rPr>
          <w:rFonts w:ascii="Tw Cen MT" w:hAnsi="Tw Cen MT" w:cstheme="majorHAnsi"/>
          <w:i/>
          <w:sz w:val="20"/>
          <w:szCs w:val="20"/>
          <w:lang w:val="en-GB"/>
        </w:rPr>
        <w:t xml:space="preserve"> It is important that GBV colleagues provide referral path</w:t>
      </w:r>
      <w:r w:rsidR="00B25949" w:rsidRPr="00F472D3">
        <w:rPr>
          <w:rFonts w:ascii="Tw Cen MT" w:hAnsi="Tw Cen MT" w:cstheme="majorHAnsi"/>
          <w:i/>
          <w:sz w:val="20"/>
          <w:szCs w:val="20"/>
          <w:lang w:val="en-GB"/>
        </w:rPr>
        <w:t>ways for the area</w:t>
      </w:r>
      <w:r w:rsidR="00AF514F" w:rsidRPr="00F472D3">
        <w:rPr>
          <w:rFonts w:ascii="Tw Cen MT" w:hAnsi="Tw Cen MT" w:cstheme="majorHAnsi"/>
          <w:i/>
          <w:sz w:val="20"/>
          <w:szCs w:val="20"/>
          <w:lang w:val="en-GB"/>
        </w:rPr>
        <w:t xml:space="preserve"> to DTM, so that such persons can be adequately and safely referred. </w:t>
      </w:r>
      <w:r w:rsidR="00B25949" w:rsidRPr="00F472D3">
        <w:rPr>
          <w:rFonts w:ascii="Tw Cen MT" w:hAnsi="Tw Cen MT" w:cstheme="majorHAnsi"/>
          <w:i/>
          <w:sz w:val="20"/>
          <w:szCs w:val="20"/>
          <w:lang w:val="en-GB"/>
        </w:rPr>
        <w:t>GBV colleagues can train enumerators on safe referrals in case of incident disclosure.</w:t>
      </w:r>
      <w:r w:rsidR="00002DDB" w:rsidRPr="00F472D3">
        <w:rPr>
          <w:rFonts w:ascii="Tw Cen MT" w:hAnsi="Tw Cen MT" w:cstheme="majorHAnsi"/>
          <w:i/>
          <w:sz w:val="20"/>
          <w:szCs w:val="20"/>
          <w:lang w:val="en-GB"/>
        </w:rPr>
        <w:t xml:space="preserve"> Standard Training on safely responding to incident disclosures </w:t>
      </w:r>
      <w:r w:rsidR="00791445">
        <w:rPr>
          <w:rFonts w:ascii="Tw Cen MT" w:hAnsi="Tw Cen MT" w:cstheme="majorHAnsi"/>
          <w:i/>
          <w:sz w:val="20"/>
          <w:szCs w:val="20"/>
          <w:lang w:val="en-GB"/>
        </w:rPr>
        <w:t>is</w:t>
      </w:r>
      <w:r w:rsidR="00002DDB" w:rsidRPr="00F472D3">
        <w:rPr>
          <w:rFonts w:ascii="Tw Cen MT" w:hAnsi="Tw Cen MT" w:cstheme="majorHAnsi"/>
          <w:i/>
          <w:sz w:val="20"/>
          <w:szCs w:val="20"/>
          <w:lang w:val="en-GB"/>
        </w:rPr>
        <w:t xml:space="preserve"> available </w:t>
      </w:r>
      <w:r w:rsidR="00791445">
        <w:rPr>
          <w:rFonts w:ascii="Tw Cen MT" w:hAnsi="Tw Cen MT" w:cstheme="majorHAnsi"/>
          <w:i/>
          <w:sz w:val="20"/>
          <w:szCs w:val="20"/>
          <w:lang w:val="en-GB"/>
        </w:rPr>
        <w:t>on DTM&amp;Partners Toolkit (</w:t>
      </w:r>
      <w:r w:rsidR="00791445" w:rsidRPr="00791445">
        <w:rPr>
          <w:rFonts w:ascii="Tw Cen MT" w:hAnsi="Tw Cen MT" w:cstheme="majorHAnsi"/>
          <w:i/>
          <w:sz w:val="20"/>
          <w:szCs w:val="20"/>
          <w:lang w:val="en-GB"/>
        </w:rPr>
        <w:t>https://displacement.iom.int/dtm-partners-toolkit/trainings</w:t>
      </w:r>
      <w:r w:rsidR="00791445">
        <w:rPr>
          <w:rFonts w:ascii="Tw Cen MT" w:hAnsi="Tw Cen MT" w:cstheme="majorHAnsi"/>
          <w:i/>
          <w:sz w:val="20"/>
          <w:szCs w:val="20"/>
          <w:lang w:val="en-GB"/>
        </w:rPr>
        <w:t>). YouTube video is also available</w:t>
      </w:r>
      <w:r w:rsidR="00791445" w:rsidRPr="00791445">
        <w:rPr>
          <w:rFonts w:ascii="Tw Cen MT" w:hAnsi="Tw Cen MT" w:cstheme="majorHAnsi"/>
          <w:i/>
          <w:sz w:val="20"/>
          <w:szCs w:val="20"/>
          <w:lang w:val="en-GB"/>
        </w:rPr>
        <w:t>https://youtu.be/n_YhXzMv1E4</w:t>
      </w:r>
      <w:r w:rsidR="00791445">
        <w:rPr>
          <w:rFonts w:ascii="Tw Cen MT" w:hAnsi="Tw Cen MT" w:cstheme="majorHAnsi"/>
          <w:i/>
          <w:sz w:val="20"/>
          <w:szCs w:val="20"/>
          <w:lang w:val="en-GB"/>
        </w:rPr>
        <w:t xml:space="preserve">  </w:t>
      </w:r>
    </w:p>
    <w:p w14:paraId="5A0CCF39" w14:textId="77777777" w:rsidR="00791445" w:rsidRDefault="00791445" w:rsidP="00203C10">
      <w:pPr>
        <w:pStyle w:val="Heading2"/>
        <w:spacing w:before="0" w:line="240" w:lineRule="auto"/>
        <w:rPr>
          <w:rFonts w:ascii="Tw Cen MT" w:hAnsi="Tw Cen MT"/>
          <w:i/>
          <w:iCs/>
          <w:color w:val="auto"/>
          <w:sz w:val="24"/>
          <w:szCs w:val="24"/>
          <w:lang w:val="en-GB"/>
        </w:rPr>
      </w:pPr>
      <w:bookmarkStart w:id="7" w:name="_Toc113354903"/>
    </w:p>
    <w:p w14:paraId="3AC88EB4" w14:textId="77777777" w:rsidR="00791445" w:rsidRDefault="00791445">
      <w:pPr>
        <w:rPr>
          <w:rFonts w:ascii="Tw Cen MT" w:eastAsiaTheme="majorEastAsia" w:hAnsi="Tw Cen MT" w:cstheme="majorBidi"/>
          <w:i/>
          <w:iCs/>
          <w:sz w:val="24"/>
          <w:szCs w:val="24"/>
          <w:lang w:val="en-GB"/>
        </w:rPr>
      </w:pPr>
      <w:r>
        <w:rPr>
          <w:rFonts w:ascii="Tw Cen MT" w:hAnsi="Tw Cen MT"/>
          <w:i/>
          <w:iCs/>
          <w:sz w:val="24"/>
          <w:szCs w:val="24"/>
          <w:lang w:val="en-GB"/>
        </w:rPr>
        <w:br w:type="page"/>
      </w:r>
    </w:p>
    <w:p w14:paraId="66F96A08" w14:textId="3876A5EF" w:rsidR="0035746E" w:rsidRPr="00203C10" w:rsidRDefault="0035746E" w:rsidP="00203C10">
      <w:pPr>
        <w:pStyle w:val="Heading2"/>
        <w:spacing w:before="0" w:line="240" w:lineRule="auto"/>
        <w:rPr>
          <w:rFonts w:ascii="Tw Cen MT" w:hAnsi="Tw Cen MT"/>
          <w:i/>
          <w:iCs/>
          <w:color w:val="auto"/>
          <w:sz w:val="24"/>
          <w:szCs w:val="24"/>
          <w:lang w:val="en-GB"/>
        </w:rPr>
      </w:pPr>
      <w:r w:rsidRPr="00203C10">
        <w:rPr>
          <w:rFonts w:ascii="Tw Cen MT" w:hAnsi="Tw Cen MT"/>
          <w:i/>
          <w:iCs/>
          <w:color w:val="auto"/>
          <w:sz w:val="24"/>
          <w:szCs w:val="24"/>
          <w:lang w:val="en-GB"/>
        </w:rPr>
        <w:lastRenderedPageBreak/>
        <w:t xml:space="preserve">What </w:t>
      </w:r>
      <w:r w:rsidR="00B60BE0" w:rsidRPr="00203C10">
        <w:rPr>
          <w:rFonts w:ascii="Tw Cen MT" w:hAnsi="Tw Cen MT"/>
          <w:i/>
          <w:iCs/>
          <w:color w:val="auto"/>
          <w:sz w:val="24"/>
          <w:szCs w:val="24"/>
          <w:lang w:val="en-GB"/>
        </w:rPr>
        <w:t>to keep in mind when</w:t>
      </w:r>
      <w:r w:rsidRPr="00203C10">
        <w:rPr>
          <w:rFonts w:ascii="Tw Cen MT" w:hAnsi="Tw Cen MT"/>
          <w:i/>
          <w:iCs/>
          <w:color w:val="auto"/>
          <w:sz w:val="24"/>
          <w:szCs w:val="24"/>
          <w:lang w:val="en-GB"/>
        </w:rPr>
        <w:t xml:space="preserve"> </w:t>
      </w:r>
      <w:r w:rsidR="00B60BE0" w:rsidRPr="00203C10">
        <w:rPr>
          <w:rFonts w:ascii="Tw Cen MT" w:hAnsi="Tw Cen MT"/>
          <w:i/>
          <w:iCs/>
          <w:color w:val="auto"/>
          <w:sz w:val="24"/>
          <w:szCs w:val="24"/>
          <w:lang w:val="en-GB"/>
        </w:rPr>
        <w:t xml:space="preserve">designing </w:t>
      </w:r>
      <w:r w:rsidRPr="00203C10">
        <w:rPr>
          <w:rFonts w:ascii="Tw Cen MT" w:hAnsi="Tw Cen MT"/>
          <w:i/>
          <w:iCs/>
          <w:color w:val="auto"/>
          <w:sz w:val="24"/>
          <w:szCs w:val="24"/>
          <w:lang w:val="en-GB"/>
        </w:rPr>
        <w:t>Key Informant Interviews</w:t>
      </w:r>
      <w:r w:rsidR="00B60BE0" w:rsidRPr="00203C10">
        <w:rPr>
          <w:rFonts w:ascii="Tw Cen MT" w:hAnsi="Tw Cen MT"/>
          <w:i/>
          <w:iCs/>
          <w:color w:val="auto"/>
          <w:sz w:val="24"/>
          <w:szCs w:val="24"/>
          <w:lang w:val="en-GB"/>
        </w:rPr>
        <w:t xml:space="preserve"> for GBV</w:t>
      </w:r>
      <w:r w:rsidRPr="00203C10">
        <w:rPr>
          <w:rFonts w:ascii="Tw Cen MT" w:hAnsi="Tw Cen MT"/>
          <w:i/>
          <w:iCs/>
          <w:color w:val="auto"/>
          <w:sz w:val="24"/>
          <w:szCs w:val="24"/>
          <w:lang w:val="en-GB"/>
        </w:rPr>
        <w:t>?</w:t>
      </w:r>
      <w:bookmarkEnd w:id="7"/>
      <w:r w:rsidR="00607182" w:rsidRPr="00203C10">
        <w:rPr>
          <w:rFonts w:ascii="Tw Cen MT" w:hAnsi="Tw Cen MT"/>
          <w:i/>
          <w:iCs/>
          <w:color w:val="auto"/>
          <w:sz w:val="24"/>
          <w:szCs w:val="24"/>
          <w:lang w:val="en-GB"/>
        </w:rPr>
        <w:tab/>
      </w:r>
    </w:p>
    <w:p w14:paraId="0965B3FD" w14:textId="0403CF7B" w:rsidR="0035746E" w:rsidRPr="00791445" w:rsidRDefault="0035746E" w:rsidP="00B60BE0">
      <w:pPr>
        <w:pStyle w:val="NoSpacing"/>
        <w:jc w:val="both"/>
        <w:rPr>
          <w:rFonts w:ascii="Tw Cen MT" w:hAnsi="Tw Cen MT" w:cstheme="majorHAnsi"/>
          <w:sz w:val="20"/>
          <w:szCs w:val="20"/>
          <w:lang w:val="en-GB"/>
        </w:rPr>
      </w:pPr>
      <w:r w:rsidRPr="00791445">
        <w:rPr>
          <w:rFonts w:ascii="Tw Cen MT" w:hAnsi="Tw Cen MT" w:cstheme="majorHAnsi"/>
          <w:sz w:val="20"/>
          <w:szCs w:val="20"/>
          <w:lang w:val="en-GB"/>
        </w:rPr>
        <w:t>Key informant interviews are</w:t>
      </w:r>
      <w:r w:rsidR="00B60BE0" w:rsidRPr="00791445">
        <w:rPr>
          <w:rFonts w:ascii="Tw Cen MT" w:hAnsi="Tw Cen MT" w:cstheme="majorHAnsi"/>
          <w:sz w:val="20"/>
          <w:szCs w:val="20"/>
          <w:lang w:val="en-GB"/>
        </w:rPr>
        <w:t xml:space="preserve"> a</w:t>
      </w:r>
      <w:r w:rsidRPr="00791445">
        <w:rPr>
          <w:rFonts w:ascii="Tw Cen MT" w:hAnsi="Tw Cen MT" w:cstheme="majorHAnsi"/>
          <w:sz w:val="20"/>
          <w:szCs w:val="20"/>
          <w:lang w:val="en-GB"/>
        </w:rPr>
        <w:t xml:space="preserve"> perfectly valid data collection technique. </w:t>
      </w:r>
      <w:r w:rsidR="00B60BE0" w:rsidRPr="00791445">
        <w:rPr>
          <w:rFonts w:ascii="Tw Cen MT" w:hAnsi="Tw Cen MT" w:cstheme="majorHAnsi"/>
          <w:sz w:val="20"/>
          <w:szCs w:val="20"/>
          <w:lang w:val="en-GB"/>
        </w:rPr>
        <w:t>As any other method of data collection, this type of interviews has strengths and limitations. It is important to keep in mind that:</w:t>
      </w:r>
      <w:r w:rsidRPr="00791445">
        <w:rPr>
          <w:rFonts w:ascii="Tw Cen MT" w:hAnsi="Tw Cen MT" w:cstheme="majorHAnsi"/>
          <w:sz w:val="20"/>
          <w:szCs w:val="20"/>
          <w:lang w:val="en-GB"/>
        </w:rPr>
        <w:t xml:space="preserve"> </w:t>
      </w:r>
    </w:p>
    <w:p w14:paraId="6AF49BDA" w14:textId="744B455E" w:rsidR="00C72434" w:rsidRPr="00791445" w:rsidRDefault="00C72434" w:rsidP="00B60BE0">
      <w:pPr>
        <w:pStyle w:val="NoSpacing"/>
        <w:numPr>
          <w:ilvl w:val="0"/>
          <w:numId w:val="3"/>
        </w:numPr>
        <w:rPr>
          <w:rFonts w:ascii="Tw Cen MT" w:hAnsi="Tw Cen MT" w:cstheme="majorHAnsi"/>
          <w:sz w:val="20"/>
          <w:szCs w:val="20"/>
          <w:lang w:val="en-GB"/>
        </w:rPr>
      </w:pPr>
      <w:r w:rsidRPr="00791445">
        <w:rPr>
          <w:rFonts w:ascii="Tw Cen MT" w:hAnsi="Tw Cen MT" w:cstheme="majorHAnsi"/>
          <w:sz w:val="20"/>
          <w:szCs w:val="20"/>
          <w:lang w:val="en-GB"/>
        </w:rPr>
        <w:t xml:space="preserve">Questions should be designed to obtain needed information from individuals </w:t>
      </w:r>
      <w:r w:rsidRPr="00791445">
        <w:rPr>
          <w:rFonts w:ascii="Tw Cen MT" w:hAnsi="Tw Cen MT" w:cstheme="majorHAnsi"/>
          <w:b/>
          <w:bCs/>
          <w:sz w:val="20"/>
          <w:szCs w:val="20"/>
          <w:lang w:val="en-GB"/>
        </w:rPr>
        <w:t xml:space="preserve">who are </w:t>
      </w:r>
      <w:r w:rsidRPr="00791445">
        <w:rPr>
          <w:rFonts w:ascii="Tw Cen MT" w:hAnsi="Tw Cen MT" w:cstheme="majorHAnsi"/>
          <w:b/>
          <w:bCs/>
          <w:sz w:val="20"/>
          <w:szCs w:val="20"/>
          <w:u w:val="single"/>
          <w:lang w:val="en-GB"/>
        </w:rPr>
        <w:t>not</w:t>
      </w:r>
      <w:r w:rsidRPr="00791445">
        <w:rPr>
          <w:rFonts w:ascii="Tw Cen MT" w:hAnsi="Tw Cen MT" w:cstheme="majorHAnsi"/>
          <w:b/>
          <w:bCs/>
          <w:sz w:val="20"/>
          <w:szCs w:val="20"/>
          <w:lang w:val="en-GB"/>
        </w:rPr>
        <w:t xml:space="preserve"> GBV </w:t>
      </w:r>
      <w:r w:rsidR="007655BB" w:rsidRPr="00791445">
        <w:rPr>
          <w:rFonts w:ascii="Tw Cen MT" w:hAnsi="Tw Cen MT" w:cstheme="majorHAnsi"/>
          <w:b/>
          <w:bCs/>
          <w:sz w:val="20"/>
          <w:szCs w:val="20"/>
          <w:lang w:val="en-GB"/>
        </w:rPr>
        <w:t>experts</w:t>
      </w:r>
      <w:r w:rsidR="007655BB" w:rsidRPr="00791445">
        <w:rPr>
          <w:rFonts w:ascii="Tw Cen MT" w:hAnsi="Tw Cen MT" w:cstheme="majorHAnsi"/>
          <w:sz w:val="20"/>
          <w:szCs w:val="20"/>
          <w:lang w:val="en-GB"/>
        </w:rPr>
        <w:t xml:space="preserve"> and</w:t>
      </w:r>
      <w:r w:rsidRPr="00791445">
        <w:rPr>
          <w:rFonts w:ascii="Tw Cen MT" w:hAnsi="Tw Cen MT" w:cstheme="majorHAnsi"/>
          <w:sz w:val="20"/>
          <w:szCs w:val="20"/>
          <w:lang w:val="en-GB"/>
        </w:rPr>
        <w:t xml:space="preserve"> are </w:t>
      </w:r>
      <w:r w:rsidRPr="00791445">
        <w:rPr>
          <w:rFonts w:ascii="Tw Cen MT" w:hAnsi="Tw Cen MT" w:cstheme="majorHAnsi"/>
          <w:b/>
          <w:bCs/>
          <w:sz w:val="20"/>
          <w:szCs w:val="20"/>
          <w:lang w:val="en-GB"/>
        </w:rPr>
        <w:t>part of the local culture</w:t>
      </w:r>
      <w:r w:rsidRPr="00791445">
        <w:rPr>
          <w:rFonts w:ascii="Tw Cen MT" w:hAnsi="Tw Cen MT" w:cstheme="majorHAnsi"/>
          <w:sz w:val="20"/>
          <w:szCs w:val="20"/>
          <w:lang w:val="en-GB"/>
        </w:rPr>
        <w:t xml:space="preserve">. </w:t>
      </w:r>
    </w:p>
    <w:p w14:paraId="1DB6A6C9" w14:textId="6B934ADC" w:rsidR="0035746E" w:rsidRPr="00791445" w:rsidRDefault="00C72434" w:rsidP="00B60BE0">
      <w:pPr>
        <w:pStyle w:val="NoSpacing"/>
        <w:numPr>
          <w:ilvl w:val="0"/>
          <w:numId w:val="3"/>
        </w:numPr>
        <w:rPr>
          <w:rFonts w:ascii="Tw Cen MT" w:hAnsi="Tw Cen MT" w:cstheme="majorHAnsi"/>
          <w:sz w:val="20"/>
          <w:szCs w:val="20"/>
          <w:lang w:val="en-GB"/>
        </w:rPr>
      </w:pPr>
      <w:r w:rsidRPr="00791445">
        <w:rPr>
          <w:rFonts w:ascii="Tw Cen MT" w:hAnsi="Tw Cen MT" w:cstheme="majorHAnsi"/>
          <w:sz w:val="20"/>
          <w:szCs w:val="20"/>
          <w:lang w:val="en-GB"/>
        </w:rPr>
        <w:t xml:space="preserve">Before designing the questions, always consider whether or not a non-GBV expert could give us good quality </w:t>
      </w:r>
      <w:r w:rsidR="00B60BE0" w:rsidRPr="00791445">
        <w:rPr>
          <w:rFonts w:ascii="Tw Cen MT" w:hAnsi="Tw Cen MT" w:cstheme="majorHAnsi"/>
          <w:sz w:val="20"/>
          <w:szCs w:val="20"/>
          <w:lang w:val="en-GB"/>
        </w:rPr>
        <w:t xml:space="preserve">and reliable </w:t>
      </w:r>
      <w:r w:rsidRPr="00791445">
        <w:rPr>
          <w:rFonts w:ascii="Tw Cen MT" w:hAnsi="Tw Cen MT" w:cstheme="majorHAnsi"/>
          <w:sz w:val="20"/>
          <w:szCs w:val="20"/>
          <w:lang w:val="en-GB"/>
        </w:rPr>
        <w:t>information</w:t>
      </w:r>
      <w:r w:rsidR="00B60BE0" w:rsidRPr="00791445">
        <w:rPr>
          <w:rFonts w:ascii="Tw Cen MT" w:hAnsi="Tw Cen MT" w:cstheme="majorHAnsi"/>
          <w:sz w:val="20"/>
          <w:szCs w:val="20"/>
          <w:lang w:val="en-GB"/>
        </w:rPr>
        <w:t>, taking into account his/her likely background, exposure, knowledge, interest, taboos and fears.</w:t>
      </w:r>
    </w:p>
    <w:p w14:paraId="2E2A62BA" w14:textId="5DEE79DD" w:rsidR="004E53CB" w:rsidRPr="00C23923" w:rsidRDefault="004E53CB" w:rsidP="00B60BE0">
      <w:pPr>
        <w:pStyle w:val="NoSpacing"/>
        <w:numPr>
          <w:ilvl w:val="0"/>
          <w:numId w:val="3"/>
        </w:numPr>
        <w:rPr>
          <w:rFonts w:ascii="Tw Cen MT" w:hAnsi="Tw Cen MT" w:cstheme="majorHAnsi"/>
          <w:sz w:val="20"/>
          <w:szCs w:val="20"/>
          <w:lang w:val="en-GB"/>
        </w:rPr>
      </w:pPr>
      <w:r w:rsidRPr="00C23923">
        <w:rPr>
          <w:rFonts w:ascii="Tw Cen MT" w:hAnsi="Tw Cen MT" w:cstheme="majorHAnsi"/>
          <w:sz w:val="20"/>
          <w:szCs w:val="20"/>
          <w:lang w:val="en-GB"/>
        </w:rPr>
        <w:t xml:space="preserve">Results are not collected through a randomized sample and </w:t>
      </w:r>
      <w:r w:rsidR="0035746E" w:rsidRPr="00C23923">
        <w:rPr>
          <w:rFonts w:ascii="Tw Cen MT" w:hAnsi="Tw Cen MT" w:cstheme="majorHAnsi"/>
          <w:sz w:val="20"/>
          <w:szCs w:val="20"/>
          <w:lang w:val="en-GB"/>
        </w:rPr>
        <w:t>cannot be generalized for the entire affected population</w:t>
      </w:r>
      <w:r w:rsidRPr="00C23923">
        <w:rPr>
          <w:rFonts w:ascii="Tw Cen MT" w:hAnsi="Tw Cen MT" w:cstheme="majorHAnsi"/>
          <w:sz w:val="20"/>
          <w:szCs w:val="20"/>
          <w:lang w:val="en-GB"/>
        </w:rPr>
        <w:t>.</w:t>
      </w:r>
      <w:r w:rsidR="00B60BE0" w:rsidRPr="00C23923">
        <w:rPr>
          <w:rFonts w:ascii="Tw Cen MT" w:hAnsi="Tw Cen MT" w:cstheme="majorHAnsi"/>
          <w:sz w:val="20"/>
          <w:szCs w:val="20"/>
          <w:lang w:val="en-GB"/>
        </w:rPr>
        <w:t xml:space="preserve"> </w:t>
      </w:r>
      <w:r w:rsidRPr="00C23923">
        <w:rPr>
          <w:rFonts w:ascii="Tw Cen MT" w:hAnsi="Tw Cen MT" w:cstheme="majorHAnsi"/>
          <w:sz w:val="20"/>
          <w:szCs w:val="20"/>
          <w:lang w:val="en-GB"/>
        </w:rPr>
        <w:t xml:space="preserve">They are valid for the communities that were assessed. </w:t>
      </w:r>
    </w:p>
    <w:p w14:paraId="03293781" w14:textId="3895A852" w:rsidR="0035746E" w:rsidRPr="00C23923" w:rsidRDefault="004E53CB" w:rsidP="00B60BE0">
      <w:pPr>
        <w:pStyle w:val="NoSpacing"/>
        <w:numPr>
          <w:ilvl w:val="0"/>
          <w:numId w:val="3"/>
        </w:numPr>
        <w:rPr>
          <w:rFonts w:ascii="Tw Cen MT" w:hAnsi="Tw Cen MT" w:cstheme="majorHAnsi"/>
          <w:sz w:val="20"/>
          <w:szCs w:val="20"/>
          <w:lang w:val="en-GB"/>
        </w:rPr>
      </w:pPr>
      <w:r w:rsidRPr="00C23923">
        <w:rPr>
          <w:rFonts w:ascii="Tw Cen MT" w:hAnsi="Tw Cen MT" w:cstheme="majorHAnsi"/>
          <w:sz w:val="20"/>
          <w:szCs w:val="20"/>
          <w:lang w:val="en-GB"/>
        </w:rPr>
        <w:t>The answers from key informants are valid at community level. The i</w:t>
      </w:r>
      <w:r w:rsidR="00B60BE0" w:rsidRPr="00C23923">
        <w:rPr>
          <w:rFonts w:ascii="Tw Cen MT" w:hAnsi="Tw Cen MT" w:cstheme="majorHAnsi"/>
          <w:sz w:val="20"/>
          <w:szCs w:val="20"/>
          <w:lang w:val="en-GB"/>
        </w:rPr>
        <w:t xml:space="preserve">nformation </w:t>
      </w:r>
      <w:r w:rsidRPr="00C23923">
        <w:rPr>
          <w:rFonts w:ascii="Tw Cen MT" w:hAnsi="Tw Cen MT" w:cstheme="majorHAnsi"/>
          <w:sz w:val="20"/>
          <w:szCs w:val="20"/>
          <w:lang w:val="en-GB"/>
        </w:rPr>
        <w:t xml:space="preserve">provided </w:t>
      </w:r>
      <w:r w:rsidR="00B60BE0" w:rsidRPr="00C23923">
        <w:rPr>
          <w:rFonts w:ascii="Tw Cen MT" w:hAnsi="Tw Cen MT" w:cstheme="majorHAnsi"/>
          <w:sz w:val="20"/>
          <w:szCs w:val="20"/>
          <w:lang w:val="en-GB"/>
        </w:rPr>
        <w:t>about the community</w:t>
      </w:r>
      <w:r w:rsidRPr="00C23923">
        <w:rPr>
          <w:rFonts w:ascii="Tw Cen MT" w:hAnsi="Tw Cen MT" w:cstheme="majorHAnsi"/>
          <w:sz w:val="20"/>
          <w:szCs w:val="20"/>
          <w:lang w:val="en-GB"/>
        </w:rPr>
        <w:t>, service availability, infrastructure and movements of population</w:t>
      </w:r>
      <w:r w:rsidR="00B60BE0" w:rsidRPr="00C23923">
        <w:rPr>
          <w:rFonts w:ascii="Tw Cen MT" w:hAnsi="Tw Cen MT" w:cstheme="majorHAnsi"/>
          <w:sz w:val="20"/>
          <w:szCs w:val="20"/>
          <w:lang w:val="en-GB"/>
        </w:rPr>
        <w:t xml:space="preserve"> can be very reliable, while </w:t>
      </w:r>
      <w:r w:rsidRPr="00C23923">
        <w:rPr>
          <w:rFonts w:ascii="Tw Cen MT" w:hAnsi="Tw Cen MT" w:cstheme="majorHAnsi"/>
          <w:sz w:val="20"/>
          <w:szCs w:val="20"/>
          <w:lang w:val="en-GB"/>
        </w:rPr>
        <w:t xml:space="preserve">other methods and sources should be used to assess the perspective, vulnerabilities and needs of </w:t>
      </w:r>
      <w:r w:rsidR="00B60BE0" w:rsidRPr="00C23923">
        <w:rPr>
          <w:rFonts w:ascii="Tw Cen MT" w:hAnsi="Tw Cen MT" w:cstheme="majorHAnsi"/>
          <w:sz w:val="20"/>
          <w:szCs w:val="20"/>
          <w:lang w:val="en-GB"/>
        </w:rPr>
        <w:t>specific groups</w:t>
      </w:r>
      <w:r w:rsidRPr="00C23923">
        <w:rPr>
          <w:rFonts w:ascii="Tw Cen MT" w:hAnsi="Tw Cen MT" w:cstheme="majorHAnsi"/>
          <w:sz w:val="20"/>
          <w:szCs w:val="20"/>
          <w:lang w:val="en-GB"/>
        </w:rPr>
        <w:t>.</w:t>
      </w:r>
    </w:p>
    <w:p w14:paraId="60671513" w14:textId="6D05BFF1" w:rsidR="00C23923" w:rsidRPr="00C23923" w:rsidRDefault="00C23923" w:rsidP="00B60BE0">
      <w:pPr>
        <w:pStyle w:val="NoSpacing"/>
        <w:numPr>
          <w:ilvl w:val="0"/>
          <w:numId w:val="3"/>
        </w:numPr>
        <w:rPr>
          <w:rFonts w:ascii="Tw Cen MT" w:hAnsi="Tw Cen MT" w:cstheme="majorHAnsi"/>
          <w:sz w:val="20"/>
          <w:szCs w:val="20"/>
          <w:lang w:val="en-GB"/>
        </w:rPr>
      </w:pPr>
      <w:r w:rsidRPr="00C23923">
        <w:rPr>
          <w:rFonts w:ascii="Tw Cen MT" w:hAnsi="Tw Cen MT" w:cstheme="majorHAnsi"/>
          <w:sz w:val="20"/>
          <w:szCs w:val="20"/>
          <w:lang w:val="en-GB"/>
        </w:rPr>
        <w:t>Always conduct a do no harm analysis</w:t>
      </w:r>
      <w:r>
        <w:rPr>
          <w:rFonts w:ascii="Tw Cen MT" w:hAnsi="Tw Cen MT" w:cstheme="majorHAnsi"/>
          <w:sz w:val="20"/>
          <w:szCs w:val="20"/>
          <w:lang w:val="en-GB"/>
        </w:rPr>
        <w:t xml:space="preserve"> using the </w:t>
      </w:r>
      <w:hyperlink r:id="rId10" w:history="1">
        <w:r w:rsidRPr="00C23923">
          <w:rPr>
            <w:rStyle w:val="Hyperlink"/>
            <w:rFonts w:ascii="Tw Cen MT" w:hAnsi="Tw Cen MT" w:cstheme="majorHAnsi"/>
            <w:sz w:val="20"/>
            <w:szCs w:val="20"/>
            <w:lang w:val="en-GB"/>
          </w:rPr>
          <w:t>DTM Do N</w:t>
        </w:r>
        <w:r>
          <w:rPr>
            <w:rStyle w:val="Hyperlink"/>
            <w:rFonts w:ascii="Tw Cen MT" w:hAnsi="Tw Cen MT" w:cstheme="majorHAnsi"/>
            <w:sz w:val="20"/>
            <w:szCs w:val="20"/>
            <w:lang w:val="en-GB"/>
          </w:rPr>
          <w:t>o</w:t>
        </w:r>
        <w:r w:rsidRPr="00C23923">
          <w:rPr>
            <w:rStyle w:val="Hyperlink"/>
            <w:rFonts w:ascii="Tw Cen MT" w:hAnsi="Tw Cen MT" w:cstheme="majorHAnsi"/>
            <w:sz w:val="20"/>
            <w:szCs w:val="20"/>
            <w:lang w:val="en-GB"/>
          </w:rPr>
          <w:t xml:space="preserve"> Harm Checklist</w:t>
        </w:r>
      </w:hyperlink>
      <w:r w:rsidRPr="00C23923">
        <w:rPr>
          <w:rFonts w:ascii="Tw Cen MT" w:hAnsi="Tw Cen MT" w:cstheme="majorHAnsi"/>
          <w:sz w:val="20"/>
          <w:szCs w:val="20"/>
          <w:lang w:val="en-GB"/>
        </w:rPr>
        <w:t xml:space="preserve"> for each of the questions included in the DTM MSLA, considering that harm can be done while collecting, storing, sharing, and analysing data to respondents, enumerators, communities and the organization itself. </w:t>
      </w:r>
    </w:p>
    <w:p w14:paraId="5F42F21B" w14:textId="411FF518" w:rsidR="0035746E" w:rsidRPr="00C23923" w:rsidRDefault="0035746E" w:rsidP="00B60BE0">
      <w:pPr>
        <w:pStyle w:val="NoSpacing"/>
        <w:ind w:left="720"/>
        <w:rPr>
          <w:rFonts w:ascii="Tw Cen MT" w:hAnsi="Tw Cen MT" w:cstheme="majorHAnsi"/>
          <w:sz w:val="20"/>
          <w:szCs w:val="20"/>
          <w:lang w:val="en-GB"/>
        </w:rPr>
      </w:pPr>
    </w:p>
    <w:p w14:paraId="2A2CE44E" w14:textId="5845F79C" w:rsidR="00BB425C" w:rsidRPr="00F472D3" w:rsidRDefault="00FF653B" w:rsidP="00F472D3">
      <w:pPr>
        <w:pStyle w:val="Heading1"/>
        <w:numPr>
          <w:ilvl w:val="0"/>
          <w:numId w:val="25"/>
        </w:numPr>
        <w:spacing w:before="0" w:line="240" w:lineRule="auto"/>
        <w:ind w:left="714" w:hanging="357"/>
        <w:rPr>
          <w:rFonts w:ascii="Tw Cen MT" w:hAnsi="Tw Cen MT"/>
          <w:i/>
          <w:iCs/>
          <w:color w:val="auto"/>
          <w:sz w:val="28"/>
          <w:szCs w:val="28"/>
          <w:u w:val="single"/>
          <w:lang w:val="en-GB"/>
        </w:rPr>
      </w:pPr>
      <w:bookmarkStart w:id="8" w:name="_Toc113354904"/>
      <w:r w:rsidRPr="00F472D3">
        <w:rPr>
          <w:rFonts w:ascii="Tw Cen MT" w:hAnsi="Tw Cen MT"/>
          <w:i/>
          <w:iCs/>
          <w:color w:val="auto"/>
          <w:sz w:val="28"/>
          <w:szCs w:val="28"/>
          <w:u w:val="single"/>
          <w:lang w:val="en-GB"/>
        </w:rPr>
        <w:t xml:space="preserve">What is the </w:t>
      </w:r>
      <w:r w:rsidR="00BB425C" w:rsidRPr="00F472D3">
        <w:rPr>
          <w:rFonts w:ascii="Tw Cen MT" w:hAnsi="Tw Cen MT"/>
          <w:i/>
          <w:iCs/>
          <w:color w:val="auto"/>
          <w:sz w:val="28"/>
          <w:szCs w:val="28"/>
          <w:u w:val="single"/>
          <w:lang w:val="en-GB"/>
        </w:rPr>
        <w:t>DTM Field Companion</w:t>
      </w:r>
      <w:r w:rsidR="00F3527C" w:rsidRPr="00F472D3">
        <w:rPr>
          <w:rFonts w:ascii="Tw Cen MT" w:hAnsi="Tw Cen MT"/>
          <w:i/>
          <w:iCs/>
          <w:color w:val="auto"/>
          <w:sz w:val="28"/>
          <w:szCs w:val="28"/>
          <w:u w:val="single"/>
          <w:lang w:val="en-GB"/>
        </w:rPr>
        <w:t xml:space="preserve"> for GBV</w:t>
      </w:r>
      <w:r w:rsidR="00300831" w:rsidRPr="00F472D3">
        <w:rPr>
          <w:rFonts w:ascii="Tw Cen MT" w:hAnsi="Tw Cen MT"/>
          <w:i/>
          <w:iCs/>
          <w:color w:val="auto"/>
          <w:sz w:val="28"/>
          <w:szCs w:val="28"/>
          <w:u w:val="single"/>
          <w:lang w:val="en-GB"/>
        </w:rPr>
        <w:t>?</w:t>
      </w:r>
      <w:bookmarkEnd w:id="8"/>
    </w:p>
    <w:p w14:paraId="7BE02D22" w14:textId="0FD8D916" w:rsidR="00956271" w:rsidRPr="00C23923" w:rsidRDefault="00DB344F" w:rsidP="00D35A6E">
      <w:pPr>
        <w:pStyle w:val="NoSpacing"/>
        <w:jc w:val="both"/>
        <w:rPr>
          <w:rFonts w:ascii="Tw Cen MT" w:hAnsi="Tw Cen MT" w:cstheme="majorHAnsi"/>
          <w:sz w:val="20"/>
          <w:szCs w:val="20"/>
          <w:lang w:val="en-GB"/>
        </w:rPr>
      </w:pPr>
      <w:r w:rsidRPr="00C23923">
        <w:rPr>
          <w:rFonts w:ascii="Tw Cen MT" w:hAnsi="Tw Cen MT" w:cstheme="majorHAnsi"/>
          <w:sz w:val="20"/>
          <w:szCs w:val="20"/>
          <w:lang w:val="en-GB"/>
        </w:rPr>
        <w:t xml:space="preserve">As </w:t>
      </w:r>
      <w:r w:rsidR="00956271" w:rsidRPr="00C23923">
        <w:rPr>
          <w:rFonts w:ascii="Tw Cen MT" w:hAnsi="Tw Cen MT" w:cstheme="majorHAnsi"/>
          <w:sz w:val="20"/>
          <w:szCs w:val="20"/>
          <w:lang w:val="en-GB"/>
        </w:rPr>
        <w:t xml:space="preserve">mentioned above, the DTM questionnaire is designed on the field, by a collaboration between DTM and partners. At global level, however, DTM, Global Clusters and partners, including the global GBV AoR, have identified </w:t>
      </w:r>
      <w:r w:rsidR="00C72434" w:rsidRPr="00C23923">
        <w:rPr>
          <w:rFonts w:ascii="Tw Cen MT" w:hAnsi="Tw Cen MT" w:cstheme="majorHAnsi"/>
          <w:sz w:val="20"/>
          <w:szCs w:val="20"/>
          <w:lang w:val="en-GB"/>
        </w:rPr>
        <w:t xml:space="preserve">types of information </w:t>
      </w:r>
      <w:r w:rsidR="00956271" w:rsidRPr="00C23923">
        <w:rPr>
          <w:rFonts w:ascii="Tw Cen MT" w:hAnsi="Tw Cen MT" w:cstheme="majorHAnsi"/>
          <w:sz w:val="20"/>
          <w:szCs w:val="20"/>
          <w:lang w:val="en-GB"/>
        </w:rPr>
        <w:t xml:space="preserve">that the field operations can use in their DTM </w:t>
      </w:r>
      <w:r w:rsidR="00072D06">
        <w:rPr>
          <w:rFonts w:ascii="Tw Cen MT" w:hAnsi="Tw Cen MT" w:cstheme="majorHAnsi"/>
          <w:sz w:val="20"/>
          <w:szCs w:val="20"/>
          <w:lang w:val="en-GB"/>
        </w:rPr>
        <w:t>MSLA</w:t>
      </w:r>
      <w:r w:rsidR="00956271" w:rsidRPr="00C23923">
        <w:rPr>
          <w:rFonts w:ascii="Tw Cen MT" w:hAnsi="Tw Cen MT" w:cstheme="majorHAnsi"/>
          <w:sz w:val="20"/>
          <w:szCs w:val="20"/>
          <w:lang w:val="en-GB"/>
        </w:rPr>
        <w:t xml:space="preserve">. </w:t>
      </w:r>
      <w:r w:rsidR="00E72B44" w:rsidRPr="00C23923">
        <w:rPr>
          <w:rFonts w:ascii="Tw Cen MT" w:hAnsi="Tw Cen MT" w:cstheme="majorHAnsi"/>
          <w:sz w:val="20"/>
          <w:szCs w:val="20"/>
          <w:lang w:val="en-GB"/>
        </w:rPr>
        <w:t>These questions are included in the DTM Field Companion</w:t>
      </w:r>
      <w:r w:rsidR="00E72B44" w:rsidRPr="00C23923">
        <w:rPr>
          <w:rStyle w:val="FootnoteReference"/>
          <w:rFonts w:ascii="Tw Cen MT" w:hAnsi="Tw Cen MT" w:cstheme="majorHAnsi"/>
          <w:sz w:val="20"/>
          <w:szCs w:val="20"/>
          <w:lang w:val="en-GB"/>
        </w:rPr>
        <w:footnoteReference w:id="2"/>
      </w:r>
      <w:r w:rsidR="001C2176" w:rsidRPr="00C23923">
        <w:rPr>
          <w:rFonts w:ascii="Tw Cen MT" w:hAnsi="Tw Cen MT" w:cstheme="majorHAnsi"/>
          <w:sz w:val="20"/>
          <w:szCs w:val="20"/>
          <w:lang w:val="en-GB"/>
        </w:rPr>
        <w:t>.</w:t>
      </w:r>
    </w:p>
    <w:p w14:paraId="78221F16" w14:textId="77777777" w:rsidR="00956271" w:rsidRPr="00C23923" w:rsidRDefault="00956271" w:rsidP="00D35A6E">
      <w:pPr>
        <w:pStyle w:val="NoSpacing"/>
        <w:jc w:val="both"/>
        <w:rPr>
          <w:rFonts w:ascii="Tw Cen MT" w:hAnsi="Tw Cen MT" w:cstheme="majorHAnsi"/>
          <w:sz w:val="20"/>
          <w:szCs w:val="20"/>
          <w:lang w:val="en-GB"/>
        </w:rPr>
      </w:pPr>
    </w:p>
    <w:p w14:paraId="0AC92FDE" w14:textId="4A1E5522" w:rsidR="005A18CB" w:rsidRPr="00C23923" w:rsidRDefault="005A18CB" w:rsidP="00D35A6E">
      <w:pPr>
        <w:pStyle w:val="NoSpacing"/>
        <w:jc w:val="both"/>
        <w:rPr>
          <w:rFonts w:ascii="Tw Cen MT" w:hAnsi="Tw Cen MT" w:cstheme="majorHAnsi"/>
          <w:b/>
          <w:sz w:val="20"/>
          <w:szCs w:val="20"/>
          <w:lang w:val="en-GB"/>
        </w:rPr>
      </w:pPr>
      <w:r w:rsidRPr="00C23923">
        <w:rPr>
          <w:rFonts w:ascii="Tw Cen MT" w:hAnsi="Tw Cen MT" w:cstheme="majorHAnsi"/>
          <w:b/>
          <w:sz w:val="20"/>
          <w:szCs w:val="20"/>
          <w:lang w:val="en-GB"/>
        </w:rPr>
        <w:t xml:space="preserve">The questions </w:t>
      </w:r>
      <w:r w:rsidR="00986EA4" w:rsidRPr="00C23923">
        <w:rPr>
          <w:rFonts w:ascii="Tw Cen MT" w:hAnsi="Tw Cen MT" w:cstheme="majorHAnsi"/>
          <w:b/>
          <w:sz w:val="20"/>
          <w:szCs w:val="20"/>
          <w:lang w:val="en-GB"/>
        </w:rPr>
        <w:t xml:space="preserve">on GBV </w:t>
      </w:r>
      <w:r w:rsidRPr="00C23923">
        <w:rPr>
          <w:rFonts w:ascii="Tw Cen MT" w:hAnsi="Tw Cen MT" w:cstheme="majorHAnsi"/>
          <w:b/>
          <w:sz w:val="20"/>
          <w:szCs w:val="20"/>
          <w:lang w:val="en-GB"/>
        </w:rPr>
        <w:t>that have been included as options in the field companion have been carefully considered – these questions</w:t>
      </w:r>
      <w:r w:rsidR="00F80584">
        <w:rPr>
          <w:rFonts w:ascii="Tw Cen MT" w:hAnsi="Tw Cen MT" w:cstheme="majorHAnsi"/>
          <w:b/>
          <w:sz w:val="20"/>
          <w:szCs w:val="20"/>
          <w:lang w:val="en-GB"/>
        </w:rPr>
        <w:t>:</w:t>
      </w:r>
    </w:p>
    <w:p w14:paraId="0BF52237" w14:textId="55069E68" w:rsidR="005A18CB" w:rsidRPr="00C23923" w:rsidRDefault="00F80584" w:rsidP="005A18CB">
      <w:pPr>
        <w:pStyle w:val="NoSpacing"/>
        <w:numPr>
          <w:ilvl w:val="0"/>
          <w:numId w:val="19"/>
        </w:numPr>
        <w:jc w:val="both"/>
        <w:rPr>
          <w:rFonts w:ascii="Tw Cen MT" w:hAnsi="Tw Cen MT" w:cstheme="majorHAnsi"/>
          <w:b/>
          <w:sz w:val="20"/>
          <w:szCs w:val="20"/>
          <w:lang w:val="en-GB"/>
        </w:rPr>
      </w:pPr>
      <w:r>
        <w:rPr>
          <w:rFonts w:ascii="Tw Cen MT" w:hAnsi="Tw Cen MT" w:cstheme="majorHAnsi"/>
          <w:b/>
          <w:sz w:val="20"/>
          <w:szCs w:val="20"/>
          <w:lang w:val="en-GB"/>
        </w:rPr>
        <w:t>Are s</w:t>
      </w:r>
      <w:r w:rsidR="005A18CB" w:rsidRPr="00C23923">
        <w:rPr>
          <w:rFonts w:ascii="Tw Cen MT" w:hAnsi="Tw Cen MT" w:cstheme="majorHAnsi"/>
          <w:b/>
          <w:sz w:val="20"/>
          <w:szCs w:val="20"/>
          <w:lang w:val="en-GB"/>
        </w:rPr>
        <w:t xml:space="preserve">afe and ethical to ask </w:t>
      </w:r>
    </w:p>
    <w:p w14:paraId="7263121B" w14:textId="081ACCAC" w:rsidR="005A18CB" w:rsidRPr="00C23923" w:rsidRDefault="005A18CB" w:rsidP="005A18CB">
      <w:pPr>
        <w:pStyle w:val="NoSpacing"/>
        <w:numPr>
          <w:ilvl w:val="0"/>
          <w:numId w:val="19"/>
        </w:numPr>
        <w:jc w:val="both"/>
        <w:rPr>
          <w:rFonts w:ascii="Tw Cen MT" w:hAnsi="Tw Cen MT" w:cstheme="majorHAnsi"/>
          <w:b/>
          <w:sz w:val="20"/>
          <w:szCs w:val="20"/>
          <w:lang w:val="en-GB"/>
        </w:rPr>
      </w:pPr>
      <w:r w:rsidRPr="00C23923">
        <w:rPr>
          <w:rFonts w:ascii="Tw Cen MT" w:hAnsi="Tw Cen MT" w:cstheme="majorHAnsi"/>
          <w:b/>
          <w:sz w:val="20"/>
          <w:szCs w:val="20"/>
          <w:lang w:val="en-GB"/>
        </w:rPr>
        <w:t>Give information that can be used for strategic or operational decision making</w:t>
      </w:r>
    </w:p>
    <w:p w14:paraId="74DB0061" w14:textId="4150EBD8" w:rsidR="005A18CB" w:rsidRPr="00C23923" w:rsidRDefault="005A18CB" w:rsidP="005A18CB">
      <w:pPr>
        <w:pStyle w:val="NoSpacing"/>
        <w:numPr>
          <w:ilvl w:val="0"/>
          <w:numId w:val="19"/>
        </w:numPr>
        <w:jc w:val="both"/>
        <w:rPr>
          <w:rFonts w:ascii="Tw Cen MT" w:hAnsi="Tw Cen MT" w:cstheme="majorHAnsi"/>
          <w:b/>
          <w:sz w:val="20"/>
          <w:szCs w:val="20"/>
          <w:lang w:val="en-GB"/>
        </w:rPr>
      </w:pPr>
      <w:r w:rsidRPr="00C23923">
        <w:rPr>
          <w:rFonts w:ascii="Tw Cen MT" w:hAnsi="Tw Cen MT" w:cstheme="majorHAnsi"/>
          <w:b/>
          <w:sz w:val="20"/>
          <w:szCs w:val="20"/>
          <w:lang w:val="en-GB"/>
        </w:rPr>
        <w:t>May yield useful responses keeping in mind that often male, non-specialized key informants answer the questions.</w:t>
      </w:r>
    </w:p>
    <w:p w14:paraId="5C94A085" w14:textId="20148E05" w:rsidR="005D25D1" w:rsidRPr="00C23923" w:rsidRDefault="005D25D1" w:rsidP="00D35A6E">
      <w:pPr>
        <w:pStyle w:val="NoSpacing"/>
        <w:jc w:val="both"/>
        <w:rPr>
          <w:rFonts w:ascii="Tw Cen MT" w:hAnsi="Tw Cen MT" w:cstheme="majorHAnsi"/>
          <w:sz w:val="20"/>
          <w:szCs w:val="20"/>
          <w:lang w:val="en-GB"/>
        </w:rPr>
      </w:pPr>
    </w:p>
    <w:p w14:paraId="67B0D150" w14:textId="48BA7671" w:rsidR="00956271" w:rsidRPr="00791445" w:rsidRDefault="00956271" w:rsidP="00FC676D">
      <w:pPr>
        <w:pStyle w:val="NoSpacing"/>
        <w:jc w:val="both"/>
        <w:rPr>
          <w:rFonts w:ascii="Tw Cen MT" w:hAnsi="Tw Cen MT" w:cstheme="majorHAnsi"/>
          <w:sz w:val="20"/>
          <w:szCs w:val="20"/>
          <w:lang w:val="en-GB"/>
        </w:rPr>
      </w:pPr>
      <w:r w:rsidRPr="00C23923">
        <w:rPr>
          <w:rFonts w:ascii="Tw Cen MT" w:hAnsi="Tw Cen MT" w:cstheme="majorHAnsi"/>
          <w:sz w:val="20"/>
          <w:szCs w:val="20"/>
          <w:lang w:val="en-GB"/>
        </w:rPr>
        <w:t>The</w:t>
      </w:r>
      <w:r w:rsidR="007F5E63" w:rsidRPr="00C23923">
        <w:rPr>
          <w:rFonts w:ascii="Tw Cen MT" w:hAnsi="Tw Cen MT" w:cstheme="majorHAnsi"/>
          <w:sz w:val="20"/>
          <w:szCs w:val="20"/>
          <w:lang w:val="en-GB"/>
        </w:rPr>
        <w:t xml:space="preserve"> DTM coordinator, the GBV sub-cluster Information Management Officer (IMO), and the GBV sub-cluster coordinator</w:t>
      </w:r>
      <w:r w:rsidRPr="00C23923">
        <w:rPr>
          <w:rFonts w:ascii="Tw Cen MT" w:hAnsi="Tw Cen MT" w:cstheme="majorHAnsi"/>
          <w:sz w:val="20"/>
          <w:szCs w:val="20"/>
          <w:lang w:val="en-GB"/>
        </w:rPr>
        <w:t xml:space="preserve"> cooperate </w:t>
      </w:r>
      <w:r w:rsidR="007F5E63" w:rsidRPr="00C23923">
        <w:rPr>
          <w:rFonts w:ascii="Tw Cen MT" w:hAnsi="Tw Cen MT" w:cstheme="majorHAnsi"/>
          <w:sz w:val="20"/>
          <w:szCs w:val="20"/>
          <w:lang w:val="en-GB"/>
        </w:rPr>
        <w:t>to</w:t>
      </w:r>
      <w:r w:rsidR="00F80584">
        <w:rPr>
          <w:rFonts w:ascii="Tw Cen MT" w:hAnsi="Tw Cen MT" w:cstheme="majorHAnsi"/>
          <w:sz w:val="20"/>
          <w:szCs w:val="20"/>
          <w:lang w:val="en-GB"/>
        </w:rPr>
        <w:t xml:space="preserve"> </w:t>
      </w:r>
      <w:r w:rsidR="009B7504">
        <w:rPr>
          <w:rFonts w:ascii="Tw Cen MT" w:hAnsi="Tw Cen MT" w:cstheme="majorHAnsi"/>
          <w:sz w:val="20"/>
          <w:szCs w:val="20"/>
          <w:lang w:val="en-GB"/>
        </w:rPr>
        <w:t>1)</w:t>
      </w:r>
      <w:r w:rsidR="009B7504" w:rsidRPr="00C23923">
        <w:rPr>
          <w:rFonts w:ascii="Tw Cen MT" w:hAnsi="Tw Cen MT" w:cstheme="majorHAnsi"/>
          <w:sz w:val="20"/>
          <w:szCs w:val="20"/>
          <w:lang w:val="en-GB"/>
        </w:rPr>
        <w:t xml:space="preserve"> identify</w:t>
      </w:r>
      <w:r w:rsidR="00C72434" w:rsidRPr="00C23923">
        <w:rPr>
          <w:rFonts w:ascii="Tw Cen MT" w:hAnsi="Tw Cen MT" w:cstheme="majorHAnsi"/>
          <w:sz w:val="20"/>
          <w:szCs w:val="20"/>
          <w:lang w:val="en-GB"/>
        </w:rPr>
        <w:t xml:space="preserve"> the needed information </w:t>
      </w:r>
      <w:r w:rsidR="00DB344F" w:rsidRPr="00C23923">
        <w:rPr>
          <w:rFonts w:ascii="Tw Cen MT" w:hAnsi="Tw Cen MT" w:cstheme="majorHAnsi"/>
          <w:sz w:val="20"/>
          <w:szCs w:val="20"/>
          <w:lang w:val="en-GB"/>
        </w:rPr>
        <w:t xml:space="preserve">and </w:t>
      </w:r>
      <w:r w:rsidR="009B7504">
        <w:rPr>
          <w:rFonts w:ascii="Tw Cen MT" w:hAnsi="Tw Cen MT" w:cstheme="majorHAnsi"/>
          <w:sz w:val="20"/>
          <w:szCs w:val="20"/>
          <w:lang w:val="en-GB"/>
        </w:rPr>
        <w:t>2)</w:t>
      </w:r>
      <w:r w:rsidR="009B7504" w:rsidRPr="00C23923">
        <w:rPr>
          <w:rFonts w:ascii="Tw Cen MT" w:hAnsi="Tw Cen MT" w:cstheme="majorHAnsi"/>
          <w:sz w:val="20"/>
          <w:szCs w:val="20"/>
          <w:lang w:val="en-GB"/>
        </w:rPr>
        <w:t xml:space="preserve"> adapt</w:t>
      </w:r>
      <w:r w:rsidR="007F5E63" w:rsidRPr="00C23923">
        <w:rPr>
          <w:rFonts w:ascii="Tw Cen MT" w:hAnsi="Tw Cen MT" w:cstheme="majorHAnsi"/>
          <w:sz w:val="20"/>
          <w:szCs w:val="20"/>
          <w:lang w:val="en-GB"/>
        </w:rPr>
        <w:t xml:space="preserve"> the </w:t>
      </w:r>
      <w:r w:rsidR="00F80584">
        <w:rPr>
          <w:rFonts w:ascii="Tw Cen MT" w:hAnsi="Tw Cen MT" w:cstheme="majorHAnsi"/>
          <w:sz w:val="20"/>
          <w:szCs w:val="20"/>
          <w:lang w:val="en-GB"/>
        </w:rPr>
        <w:t xml:space="preserve">relevant </w:t>
      </w:r>
      <w:r w:rsidR="007F5E63" w:rsidRPr="00C23923">
        <w:rPr>
          <w:rFonts w:ascii="Tw Cen MT" w:hAnsi="Tw Cen MT" w:cstheme="majorHAnsi"/>
          <w:sz w:val="20"/>
          <w:szCs w:val="20"/>
          <w:lang w:val="en-GB"/>
        </w:rPr>
        <w:t xml:space="preserve">questions </w:t>
      </w:r>
      <w:r w:rsidR="00DB344F" w:rsidRPr="00C23923">
        <w:rPr>
          <w:rFonts w:ascii="Tw Cen MT" w:hAnsi="Tw Cen MT" w:cstheme="majorHAnsi"/>
          <w:sz w:val="20"/>
          <w:szCs w:val="20"/>
          <w:lang w:val="en-GB"/>
        </w:rPr>
        <w:t xml:space="preserve">from the </w:t>
      </w:r>
      <w:r w:rsidRPr="00C23923">
        <w:rPr>
          <w:rFonts w:ascii="Tw Cen MT" w:hAnsi="Tw Cen MT" w:cstheme="majorHAnsi"/>
          <w:sz w:val="20"/>
          <w:szCs w:val="20"/>
          <w:lang w:val="en-GB"/>
        </w:rPr>
        <w:t xml:space="preserve">Field Companion </w:t>
      </w:r>
      <w:r w:rsidR="007F5E63" w:rsidRPr="00C23923">
        <w:rPr>
          <w:rFonts w:ascii="Tw Cen MT" w:hAnsi="Tw Cen MT" w:cstheme="majorHAnsi"/>
          <w:sz w:val="20"/>
          <w:szCs w:val="20"/>
          <w:lang w:val="en-GB"/>
        </w:rPr>
        <w:t xml:space="preserve">that should </w:t>
      </w:r>
      <w:r w:rsidR="007F5E63" w:rsidRPr="00791445">
        <w:rPr>
          <w:rFonts w:ascii="Tw Cen MT" w:hAnsi="Tw Cen MT" w:cstheme="majorHAnsi"/>
          <w:sz w:val="20"/>
          <w:szCs w:val="20"/>
          <w:lang w:val="en-GB"/>
        </w:rPr>
        <w:t xml:space="preserve">be included in the DTM questionnaire in their context. </w:t>
      </w:r>
    </w:p>
    <w:p w14:paraId="2BC203AD" w14:textId="34E00928" w:rsidR="00C05F79" w:rsidRPr="00791445" w:rsidRDefault="00C05F79" w:rsidP="007F5E63">
      <w:pPr>
        <w:pStyle w:val="NoSpacing"/>
        <w:jc w:val="both"/>
        <w:rPr>
          <w:rFonts w:ascii="Tw Cen MT" w:hAnsi="Tw Cen MT" w:cstheme="majorHAnsi"/>
          <w:sz w:val="20"/>
          <w:szCs w:val="20"/>
          <w:lang w:val="en-GB"/>
        </w:rPr>
      </w:pPr>
    </w:p>
    <w:p w14:paraId="4EFAC019" w14:textId="421231FD" w:rsidR="000F7503" w:rsidRPr="00791445" w:rsidRDefault="000F7503" w:rsidP="00203C10">
      <w:pPr>
        <w:pStyle w:val="Heading2"/>
        <w:spacing w:before="0" w:line="240" w:lineRule="auto"/>
        <w:rPr>
          <w:rFonts w:ascii="Tw Cen MT" w:hAnsi="Tw Cen MT"/>
          <w:i/>
          <w:iCs/>
          <w:color w:val="auto"/>
          <w:sz w:val="24"/>
          <w:szCs w:val="24"/>
          <w:lang w:val="en-GB"/>
        </w:rPr>
      </w:pPr>
      <w:bookmarkStart w:id="9" w:name="_Toc113354905"/>
      <w:r w:rsidRPr="00791445">
        <w:rPr>
          <w:rFonts w:ascii="Tw Cen MT" w:hAnsi="Tw Cen MT"/>
          <w:i/>
          <w:iCs/>
          <w:color w:val="auto"/>
          <w:sz w:val="24"/>
          <w:szCs w:val="24"/>
          <w:lang w:val="en-GB"/>
        </w:rPr>
        <w:t>What types of questions are in the DTM Field Companion</w:t>
      </w:r>
      <w:r w:rsidR="00F3527C" w:rsidRPr="00791445">
        <w:rPr>
          <w:rFonts w:ascii="Tw Cen MT" w:hAnsi="Tw Cen MT"/>
          <w:i/>
          <w:iCs/>
          <w:color w:val="auto"/>
          <w:sz w:val="24"/>
          <w:szCs w:val="24"/>
          <w:lang w:val="en-GB"/>
        </w:rPr>
        <w:t xml:space="preserve"> for GBV</w:t>
      </w:r>
      <w:r w:rsidRPr="00791445">
        <w:rPr>
          <w:rFonts w:ascii="Tw Cen MT" w:hAnsi="Tw Cen MT"/>
          <w:i/>
          <w:iCs/>
          <w:color w:val="auto"/>
          <w:sz w:val="24"/>
          <w:szCs w:val="24"/>
          <w:lang w:val="en-GB"/>
        </w:rPr>
        <w:t>?</w:t>
      </w:r>
      <w:bookmarkEnd w:id="9"/>
    </w:p>
    <w:p w14:paraId="2B190129" w14:textId="7D7F8028" w:rsidR="007F5E63" w:rsidRPr="00791445" w:rsidRDefault="000D326D" w:rsidP="00DA6CCF">
      <w:pPr>
        <w:pStyle w:val="NoSpacing"/>
        <w:spacing w:after="120"/>
        <w:jc w:val="both"/>
        <w:rPr>
          <w:rFonts w:ascii="Tw Cen MT" w:hAnsi="Tw Cen MT" w:cstheme="majorHAnsi"/>
          <w:sz w:val="20"/>
          <w:szCs w:val="20"/>
          <w:lang w:val="en-GB"/>
        </w:rPr>
      </w:pPr>
      <w:r w:rsidRPr="00791445">
        <w:rPr>
          <w:rFonts w:ascii="Tw Cen MT" w:hAnsi="Tw Cen MT" w:cstheme="majorHAnsi"/>
          <w:sz w:val="20"/>
          <w:szCs w:val="20"/>
          <w:lang w:val="en-GB"/>
        </w:rPr>
        <w:t xml:space="preserve">The </w:t>
      </w:r>
      <w:r w:rsidR="00424E80" w:rsidRPr="00791445">
        <w:rPr>
          <w:rFonts w:ascii="Tw Cen MT" w:hAnsi="Tw Cen MT" w:cstheme="majorHAnsi"/>
          <w:sz w:val="20"/>
          <w:szCs w:val="20"/>
          <w:lang w:val="en-GB"/>
        </w:rPr>
        <w:t>Field Companion</w:t>
      </w:r>
      <w:r w:rsidR="003129DA" w:rsidRPr="00791445">
        <w:rPr>
          <w:rFonts w:ascii="Tw Cen MT" w:hAnsi="Tw Cen MT" w:cstheme="majorHAnsi"/>
          <w:sz w:val="20"/>
          <w:szCs w:val="20"/>
          <w:lang w:val="en-GB"/>
        </w:rPr>
        <w:t xml:space="preserve"> includes</w:t>
      </w:r>
      <w:r w:rsidR="00424E80" w:rsidRPr="00791445">
        <w:rPr>
          <w:rFonts w:ascii="Tw Cen MT" w:hAnsi="Tw Cen MT" w:cstheme="majorHAnsi"/>
          <w:sz w:val="20"/>
          <w:szCs w:val="20"/>
          <w:lang w:val="en-GB"/>
        </w:rPr>
        <w:t xml:space="preserve"> </w:t>
      </w:r>
      <w:r w:rsidR="00AE6B5C" w:rsidRPr="00791445">
        <w:rPr>
          <w:rFonts w:ascii="Tw Cen MT" w:hAnsi="Tw Cen MT" w:cstheme="majorHAnsi"/>
          <w:sz w:val="20"/>
          <w:szCs w:val="20"/>
          <w:lang w:val="en-GB"/>
        </w:rPr>
        <w:t xml:space="preserve">information needs and </w:t>
      </w:r>
      <w:r w:rsidRPr="00791445">
        <w:rPr>
          <w:rFonts w:ascii="Tw Cen MT" w:hAnsi="Tw Cen MT" w:cstheme="majorHAnsi"/>
          <w:sz w:val="20"/>
          <w:szCs w:val="20"/>
          <w:lang w:val="en-GB"/>
        </w:rPr>
        <w:t xml:space="preserve">questions can largely be grouped into four different categories: </w:t>
      </w:r>
    </w:p>
    <w:p w14:paraId="15DC0CEB" w14:textId="38C179EF" w:rsidR="00C05191" w:rsidRPr="00791445" w:rsidRDefault="00C05191" w:rsidP="00C05191">
      <w:pPr>
        <w:pStyle w:val="NoSpacing"/>
        <w:numPr>
          <w:ilvl w:val="0"/>
          <w:numId w:val="5"/>
        </w:numPr>
        <w:jc w:val="both"/>
        <w:rPr>
          <w:rFonts w:ascii="Tw Cen MT" w:hAnsi="Tw Cen MT" w:cstheme="majorHAnsi"/>
          <w:sz w:val="20"/>
          <w:szCs w:val="20"/>
          <w:lang w:val="en-GB"/>
        </w:rPr>
      </w:pPr>
      <w:r w:rsidRPr="00791445">
        <w:rPr>
          <w:rFonts w:ascii="Tw Cen MT" w:hAnsi="Tw Cen MT" w:cstheme="majorHAnsi"/>
          <w:b/>
          <w:sz w:val="20"/>
          <w:szCs w:val="20"/>
          <w:lang w:val="en-GB"/>
        </w:rPr>
        <w:t>Safety perceptions:</w:t>
      </w:r>
      <w:r w:rsidRPr="00791445" w:rsidDel="00884E8C">
        <w:rPr>
          <w:rFonts w:ascii="Tw Cen MT" w:hAnsi="Tw Cen MT" w:cstheme="majorHAnsi"/>
          <w:b/>
          <w:sz w:val="20"/>
          <w:szCs w:val="20"/>
          <w:lang w:val="en-GB"/>
        </w:rPr>
        <w:t xml:space="preserve"> </w:t>
      </w:r>
      <w:r w:rsidR="00AE6B5C" w:rsidRPr="00791445">
        <w:rPr>
          <w:rFonts w:ascii="Tw Cen MT" w:hAnsi="Tw Cen MT" w:cstheme="majorHAnsi"/>
          <w:bCs/>
          <w:sz w:val="20"/>
          <w:szCs w:val="20"/>
          <w:lang w:val="en-GB"/>
        </w:rPr>
        <w:t>I</w:t>
      </w:r>
      <w:r w:rsidRPr="00791445">
        <w:rPr>
          <w:rFonts w:ascii="Tw Cen MT" w:hAnsi="Tw Cen MT" w:cstheme="majorHAnsi"/>
          <w:bCs/>
          <w:sz w:val="20"/>
          <w:szCs w:val="20"/>
          <w:lang w:val="en-GB"/>
        </w:rPr>
        <w:t>n</w:t>
      </w:r>
      <w:r w:rsidRPr="00791445">
        <w:rPr>
          <w:rFonts w:ascii="Tw Cen MT" w:hAnsi="Tw Cen MT" w:cstheme="majorHAnsi"/>
          <w:sz w:val="20"/>
          <w:szCs w:val="20"/>
          <w:lang w:val="en-GB"/>
        </w:rPr>
        <w:t xml:space="preserve">dications on safety, security, and protection concerns, what areas people tend to avoid, who provides safety and security on site, etc. </w:t>
      </w:r>
    </w:p>
    <w:p w14:paraId="6CA58944" w14:textId="142C647C" w:rsidR="00C05191" w:rsidRPr="00C23923" w:rsidRDefault="00C05191" w:rsidP="000020C9">
      <w:pPr>
        <w:pStyle w:val="NoSpacing"/>
        <w:spacing w:before="120"/>
        <w:ind w:left="357"/>
        <w:rPr>
          <w:rFonts w:ascii="Tw Cen MT" w:hAnsi="Tw Cen MT" w:cstheme="majorHAnsi"/>
          <w:sz w:val="20"/>
          <w:szCs w:val="20"/>
          <w:lang w:val="en-GB"/>
        </w:rPr>
      </w:pPr>
      <w:r w:rsidRPr="00791445">
        <w:rPr>
          <w:rFonts w:ascii="Tw Cen MT" w:hAnsi="Tw Cen MT" w:cstheme="majorHAnsi"/>
          <w:i/>
          <w:sz w:val="20"/>
          <w:szCs w:val="20"/>
          <w:lang w:val="en-GB"/>
        </w:rPr>
        <w:t>Why include these?</w:t>
      </w:r>
      <w:r w:rsidRPr="00C23923">
        <w:rPr>
          <w:rFonts w:ascii="Tw Cen MT" w:hAnsi="Tw Cen MT" w:cstheme="majorHAnsi"/>
          <w:i/>
          <w:sz w:val="20"/>
          <w:szCs w:val="20"/>
          <w:lang w:val="en-GB"/>
        </w:rPr>
        <w:t xml:space="preserve"> </w:t>
      </w:r>
      <w:r w:rsidR="002071F5" w:rsidRPr="00C23923">
        <w:rPr>
          <w:rFonts w:ascii="Tw Cen MT" w:hAnsi="Tw Cen MT" w:cstheme="majorHAnsi"/>
          <w:i/>
          <w:sz w:val="20"/>
          <w:szCs w:val="20"/>
          <w:lang w:val="en-GB"/>
        </w:rPr>
        <w:br/>
      </w:r>
      <w:r w:rsidRPr="00C23923">
        <w:rPr>
          <w:rFonts w:ascii="Tw Cen MT" w:hAnsi="Tw Cen MT" w:cstheme="majorHAnsi"/>
          <w:sz w:val="20"/>
          <w:szCs w:val="20"/>
          <w:lang w:val="en-GB"/>
        </w:rPr>
        <w:t xml:space="preserve">The </w:t>
      </w:r>
      <w:r w:rsidR="00AE6B5C">
        <w:rPr>
          <w:rFonts w:ascii="Tw Cen MT" w:hAnsi="Tw Cen MT" w:cstheme="majorHAnsi"/>
          <w:sz w:val="20"/>
          <w:szCs w:val="20"/>
          <w:lang w:val="en-GB"/>
        </w:rPr>
        <w:t>information</w:t>
      </w:r>
      <w:r w:rsidRPr="00C23923">
        <w:rPr>
          <w:rFonts w:ascii="Tw Cen MT" w:hAnsi="Tw Cen MT" w:cstheme="majorHAnsi"/>
          <w:sz w:val="20"/>
          <w:szCs w:val="20"/>
          <w:lang w:val="en-GB"/>
        </w:rPr>
        <w:t xml:space="preserve"> can paint the picture of the general protection environment and help shape a more qualitative narrative needed to create a complete picture</w:t>
      </w:r>
      <w:r w:rsidR="00C72434" w:rsidRPr="00C23923">
        <w:rPr>
          <w:rFonts w:ascii="Tw Cen MT" w:hAnsi="Tw Cen MT" w:cstheme="majorHAnsi"/>
          <w:sz w:val="20"/>
          <w:szCs w:val="20"/>
          <w:lang w:val="en-GB"/>
        </w:rPr>
        <w:t>. It can also contribute to identifying the level of GBV risks and priority locations for interventions</w:t>
      </w:r>
      <w:r w:rsidRPr="00C23923">
        <w:rPr>
          <w:rFonts w:ascii="Tw Cen MT" w:hAnsi="Tw Cen MT" w:cstheme="majorHAnsi"/>
          <w:sz w:val="20"/>
          <w:szCs w:val="20"/>
          <w:lang w:val="en-GB"/>
        </w:rPr>
        <w:t>.</w:t>
      </w:r>
      <w:r w:rsidR="002071F5" w:rsidRPr="00C23923">
        <w:rPr>
          <w:rFonts w:ascii="Tw Cen MT" w:hAnsi="Tw Cen MT" w:cstheme="majorHAnsi"/>
          <w:sz w:val="20"/>
          <w:szCs w:val="20"/>
          <w:lang w:val="en-GB"/>
        </w:rPr>
        <w:br/>
      </w:r>
    </w:p>
    <w:p w14:paraId="3E1C3C2F" w14:textId="29BDAD13" w:rsidR="00764680" w:rsidRPr="00C23923" w:rsidRDefault="000D326D" w:rsidP="000D326D">
      <w:pPr>
        <w:pStyle w:val="NoSpacing"/>
        <w:numPr>
          <w:ilvl w:val="0"/>
          <w:numId w:val="5"/>
        </w:numPr>
        <w:jc w:val="both"/>
        <w:rPr>
          <w:rFonts w:ascii="Tw Cen MT" w:hAnsi="Tw Cen MT" w:cstheme="majorHAnsi"/>
          <w:sz w:val="20"/>
          <w:szCs w:val="20"/>
          <w:lang w:val="en-GB"/>
        </w:rPr>
      </w:pPr>
      <w:r w:rsidRPr="00C23923">
        <w:rPr>
          <w:rFonts w:ascii="Tw Cen MT" w:hAnsi="Tw Cen MT" w:cstheme="majorHAnsi"/>
          <w:b/>
          <w:sz w:val="20"/>
          <w:szCs w:val="20"/>
          <w:lang w:val="en-GB"/>
        </w:rPr>
        <w:t>Availability of GBV services:</w:t>
      </w:r>
      <w:r w:rsidR="008C2F52" w:rsidRPr="00C23923">
        <w:rPr>
          <w:rFonts w:ascii="Tw Cen MT" w:hAnsi="Tw Cen MT" w:cstheme="majorHAnsi"/>
          <w:b/>
          <w:sz w:val="20"/>
          <w:szCs w:val="20"/>
          <w:lang w:val="en-GB"/>
        </w:rPr>
        <w:t xml:space="preserve"> </w:t>
      </w:r>
      <w:r w:rsidR="008C2F52" w:rsidRPr="00C23923">
        <w:rPr>
          <w:rFonts w:ascii="Tw Cen MT" w:hAnsi="Tw Cen MT" w:cstheme="majorHAnsi"/>
          <w:sz w:val="20"/>
          <w:szCs w:val="20"/>
          <w:lang w:val="en-GB"/>
        </w:rPr>
        <w:t xml:space="preserve">Looking at </w:t>
      </w:r>
      <w:r w:rsidR="00F12770" w:rsidRPr="00C23923">
        <w:rPr>
          <w:rFonts w:ascii="Tw Cen MT" w:hAnsi="Tw Cen MT" w:cstheme="majorHAnsi"/>
          <w:sz w:val="20"/>
          <w:szCs w:val="20"/>
          <w:lang w:val="en-GB"/>
        </w:rPr>
        <w:t xml:space="preserve">whether </w:t>
      </w:r>
      <w:r w:rsidR="00DA08CD" w:rsidRPr="00C23923">
        <w:rPr>
          <w:rFonts w:ascii="Tw Cen MT" w:hAnsi="Tw Cen MT" w:cstheme="majorHAnsi"/>
          <w:sz w:val="20"/>
          <w:szCs w:val="20"/>
          <w:lang w:val="en-GB"/>
        </w:rPr>
        <w:t xml:space="preserve">GBV services such as women friendly spaces, case management services, etc. exist. </w:t>
      </w:r>
    </w:p>
    <w:p w14:paraId="357920C0" w14:textId="71A1BEA1" w:rsidR="00DA08CD" w:rsidRPr="00C23923" w:rsidRDefault="00764680" w:rsidP="00AE6B5C">
      <w:pPr>
        <w:pStyle w:val="NoSpacing"/>
        <w:spacing w:before="120"/>
        <w:ind w:left="357"/>
        <w:rPr>
          <w:rFonts w:ascii="Tw Cen MT" w:hAnsi="Tw Cen MT" w:cstheme="majorHAnsi"/>
          <w:sz w:val="20"/>
          <w:szCs w:val="20"/>
          <w:lang w:val="en-GB"/>
        </w:rPr>
      </w:pPr>
      <w:r w:rsidRPr="00C23923">
        <w:rPr>
          <w:rFonts w:ascii="Tw Cen MT" w:hAnsi="Tw Cen MT" w:cstheme="majorHAnsi"/>
          <w:i/>
          <w:sz w:val="20"/>
          <w:szCs w:val="20"/>
          <w:lang w:val="en-GB"/>
        </w:rPr>
        <w:t xml:space="preserve">Why include these? </w:t>
      </w:r>
      <w:r w:rsidR="002071F5" w:rsidRPr="00C23923">
        <w:rPr>
          <w:rFonts w:ascii="Tw Cen MT" w:hAnsi="Tw Cen MT" w:cstheme="majorHAnsi"/>
          <w:i/>
          <w:sz w:val="20"/>
          <w:szCs w:val="20"/>
          <w:lang w:val="en-GB"/>
        </w:rPr>
        <w:br/>
      </w:r>
      <w:r w:rsidR="00DA08CD" w:rsidRPr="00C23923">
        <w:rPr>
          <w:rFonts w:ascii="Tw Cen MT" w:hAnsi="Tw Cen MT" w:cstheme="majorHAnsi"/>
          <w:sz w:val="20"/>
          <w:szCs w:val="20"/>
          <w:lang w:val="en-GB"/>
        </w:rPr>
        <w:t>Th</w:t>
      </w:r>
      <w:r w:rsidR="00AE6B5C">
        <w:rPr>
          <w:rFonts w:ascii="Tw Cen MT" w:hAnsi="Tw Cen MT" w:cstheme="majorHAnsi"/>
          <w:sz w:val="20"/>
          <w:szCs w:val="20"/>
          <w:lang w:val="en-GB"/>
        </w:rPr>
        <w:t xml:space="preserve">e information helps you </w:t>
      </w:r>
      <w:r w:rsidRPr="00C23923">
        <w:rPr>
          <w:rFonts w:ascii="Tw Cen MT" w:hAnsi="Tw Cen MT" w:cstheme="majorHAnsi"/>
          <w:sz w:val="20"/>
          <w:szCs w:val="20"/>
          <w:lang w:val="en-GB"/>
        </w:rPr>
        <w:t>map out what services are available</w:t>
      </w:r>
      <w:r w:rsidR="00AE6B5C">
        <w:rPr>
          <w:rFonts w:ascii="Tw Cen MT" w:hAnsi="Tw Cen MT" w:cstheme="majorHAnsi"/>
          <w:sz w:val="20"/>
          <w:szCs w:val="20"/>
          <w:lang w:val="en-GB"/>
        </w:rPr>
        <w:t xml:space="preserve"> and </w:t>
      </w:r>
      <w:r w:rsidR="00DA08CD" w:rsidRPr="00C23923">
        <w:rPr>
          <w:rFonts w:ascii="Tw Cen MT" w:hAnsi="Tw Cen MT" w:cstheme="majorHAnsi"/>
          <w:sz w:val="20"/>
          <w:szCs w:val="20"/>
          <w:lang w:val="en-GB"/>
        </w:rPr>
        <w:t>triangulate data with 3W</w:t>
      </w:r>
      <w:r w:rsidRPr="00C23923">
        <w:rPr>
          <w:rFonts w:ascii="Tw Cen MT" w:hAnsi="Tw Cen MT" w:cstheme="majorHAnsi"/>
          <w:sz w:val="20"/>
          <w:szCs w:val="20"/>
          <w:lang w:val="en-GB"/>
        </w:rPr>
        <w:t xml:space="preserve">s </w:t>
      </w:r>
      <w:r w:rsidR="00AE6B5C">
        <w:rPr>
          <w:rFonts w:ascii="Tw Cen MT" w:hAnsi="Tw Cen MT" w:cstheme="majorHAnsi"/>
          <w:sz w:val="20"/>
          <w:szCs w:val="20"/>
          <w:lang w:val="en-GB"/>
        </w:rPr>
        <w:t>to</w:t>
      </w:r>
      <w:r w:rsidRPr="00C23923">
        <w:rPr>
          <w:rFonts w:ascii="Tw Cen MT" w:hAnsi="Tw Cen MT" w:cstheme="majorHAnsi"/>
          <w:sz w:val="20"/>
          <w:szCs w:val="20"/>
          <w:lang w:val="en-GB"/>
        </w:rPr>
        <w:t xml:space="preserve"> map out gaps</w:t>
      </w:r>
      <w:r w:rsidR="00AE6B5C">
        <w:rPr>
          <w:rFonts w:ascii="Tw Cen MT" w:hAnsi="Tw Cen MT" w:cstheme="majorHAnsi"/>
          <w:sz w:val="20"/>
          <w:szCs w:val="20"/>
          <w:lang w:val="en-GB"/>
        </w:rPr>
        <w:t xml:space="preserve"> and even</w:t>
      </w:r>
      <w:r w:rsidR="002D1DCF" w:rsidRPr="00C23923">
        <w:rPr>
          <w:rFonts w:ascii="Tw Cen MT" w:hAnsi="Tw Cen MT" w:cstheme="majorHAnsi"/>
          <w:sz w:val="20"/>
          <w:szCs w:val="20"/>
          <w:lang w:val="en-GB"/>
        </w:rPr>
        <w:t xml:space="preserve"> explore inconsistencies between reported services (e.g.</w:t>
      </w:r>
      <w:r w:rsidR="0098319A">
        <w:rPr>
          <w:rFonts w:ascii="Tw Cen MT" w:hAnsi="Tw Cen MT" w:cstheme="majorHAnsi"/>
          <w:sz w:val="20"/>
          <w:szCs w:val="20"/>
          <w:lang w:val="en-GB"/>
        </w:rPr>
        <w:t>,</w:t>
      </w:r>
      <w:r w:rsidR="002D1DCF" w:rsidRPr="00C23923">
        <w:rPr>
          <w:rFonts w:ascii="Tw Cen MT" w:hAnsi="Tw Cen MT" w:cstheme="majorHAnsi"/>
          <w:sz w:val="20"/>
          <w:szCs w:val="20"/>
          <w:lang w:val="en-GB"/>
        </w:rPr>
        <w:t xml:space="preserve"> 3Ws) and the perception of key informants. </w:t>
      </w:r>
      <w:r w:rsidR="002071F5" w:rsidRPr="00C23923">
        <w:rPr>
          <w:rFonts w:ascii="Tw Cen MT" w:hAnsi="Tw Cen MT" w:cstheme="majorHAnsi"/>
          <w:sz w:val="20"/>
          <w:szCs w:val="20"/>
          <w:lang w:val="en-GB"/>
        </w:rPr>
        <w:br/>
      </w:r>
    </w:p>
    <w:p w14:paraId="2D8A0C9F" w14:textId="6BEC5B07" w:rsidR="005D6CB3" w:rsidRPr="00C23923" w:rsidRDefault="00884E8C" w:rsidP="00A61070">
      <w:pPr>
        <w:pStyle w:val="NoSpacing"/>
        <w:numPr>
          <w:ilvl w:val="0"/>
          <w:numId w:val="5"/>
        </w:numPr>
        <w:jc w:val="both"/>
        <w:rPr>
          <w:rFonts w:ascii="Tw Cen MT" w:hAnsi="Tw Cen MT" w:cstheme="majorHAnsi"/>
          <w:i/>
          <w:sz w:val="20"/>
          <w:szCs w:val="20"/>
          <w:lang w:val="en-GB"/>
        </w:rPr>
      </w:pPr>
      <w:r w:rsidRPr="00C23923">
        <w:rPr>
          <w:rFonts w:ascii="Tw Cen MT" w:hAnsi="Tw Cen MT" w:cstheme="majorHAnsi"/>
          <w:b/>
          <w:sz w:val="20"/>
          <w:szCs w:val="20"/>
          <w:lang w:val="en-GB"/>
        </w:rPr>
        <w:t>System &amp; services</w:t>
      </w:r>
      <w:r w:rsidR="002071F5" w:rsidRPr="00C23923">
        <w:rPr>
          <w:rFonts w:ascii="Tw Cen MT" w:hAnsi="Tw Cen MT" w:cstheme="majorHAnsi"/>
          <w:b/>
          <w:sz w:val="20"/>
          <w:szCs w:val="20"/>
          <w:lang w:val="en-GB"/>
        </w:rPr>
        <w:t xml:space="preserve"> </w:t>
      </w:r>
      <w:r w:rsidR="00046F6E" w:rsidRPr="00C23923">
        <w:rPr>
          <w:rFonts w:ascii="Tw Cen MT" w:hAnsi="Tw Cen MT" w:cstheme="majorHAnsi"/>
          <w:b/>
          <w:sz w:val="20"/>
          <w:szCs w:val="20"/>
          <w:lang w:val="en-GB"/>
        </w:rPr>
        <w:t>(by sector)</w:t>
      </w:r>
      <w:r w:rsidR="00ED0271" w:rsidRPr="00C23923">
        <w:rPr>
          <w:rFonts w:ascii="Tw Cen MT" w:hAnsi="Tw Cen MT" w:cstheme="majorHAnsi"/>
          <w:b/>
          <w:sz w:val="20"/>
          <w:szCs w:val="20"/>
          <w:lang w:val="en-GB"/>
        </w:rPr>
        <w:t xml:space="preserve">: </w:t>
      </w:r>
      <w:r w:rsidR="00ED0271" w:rsidRPr="0098319A">
        <w:rPr>
          <w:rFonts w:ascii="Tw Cen MT" w:hAnsi="Tw Cen MT" w:cstheme="majorHAnsi"/>
          <w:sz w:val="20"/>
          <w:szCs w:val="20"/>
          <w:u w:val="single"/>
          <w:lang w:val="en-GB"/>
        </w:rPr>
        <w:t>availability</w:t>
      </w:r>
      <w:r w:rsidR="0098319A" w:rsidRPr="0098319A">
        <w:rPr>
          <w:rFonts w:ascii="Tw Cen MT" w:hAnsi="Tw Cen MT" w:cstheme="majorHAnsi"/>
          <w:sz w:val="20"/>
          <w:szCs w:val="20"/>
          <w:u w:val="single"/>
          <w:lang w:val="en-GB"/>
        </w:rPr>
        <w:t xml:space="preserve"> and</w:t>
      </w:r>
      <w:r w:rsidR="00ED0271" w:rsidRPr="0098319A">
        <w:rPr>
          <w:rFonts w:ascii="Tw Cen MT" w:hAnsi="Tw Cen MT" w:cstheme="majorHAnsi"/>
          <w:sz w:val="20"/>
          <w:szCs w:val="20"/>
          <w:u w:val="single"/>
          <w:lang w:val="en-GB"/>
        </w:rPr>
        <w:t xml:space="preserve"> </w:t>
      </w:r>
      <w:r w:rsidR="002D1DCF" w:rsidRPr="0098319A">
        <w:rPr>
          <w:rFonts w:ascii="Tw Cen MT" w:hAnsi="Tw Cen MT" w:cstheme="majorHAnsi"/>
          <w:sz w:val="20"/>
          <w:szCs w:val="20"/>
          <w:u w:val="single"/>
          <w:lang w:val="en-GB"/>
        </w:rPr>
        <w:t xml:space="preserve">physical </w:t>
      </w:r>
      <w:r w:rsidR="00ED0271" w:rsidRPr="0098319A">
        <w:rPr>
          <w:rFonts w:ascii="Tw Cen MT" w:hAnsi="Tw Cen MT" w:cstheme="majorHAnsi"/>
          <w:sz w:val="20"/>
          <w:szCs w:val="20"/>
          <w:u w:val="single"/>
          <w:lang w:val="en-GB"/>
        </w:rPr>
        <w:t>accessibility</w:t>
      </w:r>
      <w:r w:rsidR="0098319A">
        <w:rPr>
          <w:rStyle w:val="FootnoteReference"/>
          <w:rFonts w:ascii="Tw Cen MT" w:hAnsi="Tw Cen MT" w:cstheme="majorHAnsi"/>
          <w:sz w:val="20"/>
          <w:szCs w:val="20"/>
          <w:u w:val="single"/>
          <w:lang w:val="en-GB"/>
        </w:rPr>
        <w:footnoteReference w:id="3"/>
      </w:r>
      <w:r w:rsidR="0098319A">
        <w:rPr>
          <w:rFonts w:ascii="Tw Cen MT" w:hAnsi="Tw Cen MT" w:cstheme="majorHAnsi"/>
          <w:sz w:val="20"/>
          <w:szCs w:val="20"/>
          <w:lang w:val="en-GB"/>
        </w:rPr>
        <w:t xml:space="preserve"> </w:t>
      </w:r>
      <w:r w:rsidR="004B6D89" w:rsidRPr="00C23923">
        <w:rPr>
          <w:rFonts w:ascii="Tw Cen MT" w:hAnsi="Tw Cen MT" w:cstheme="majorHAnsi"/>
          <w:sz w:val="20"/>
          <w:szCs w:val="20"/>
          <w:lang w:val="en-GB"/>
        </w:rPr>
        <w:t xml:space="preserve">to </w:t>
      </w:r>
      <w:r w:rsidR="002D1DCF" w:rsidRPr="00C23923">
        <w:rPr>
          <w:rFonts w:ascii="Tw Cen MT" w:hAnsi="Tw Cen MT" w:cstheme="majorHAnsi"/>
          <w:sz w:val="20"/>
          <w:szCs w:val="20"/>
          <w:lang w:val="en-GB"/>
        </w:rPr>
        <w:t xml:space="preserve">basic goods and services </w:t>
      </w:r>
      <w:r w:rsidR="004B6D89" w:rsidRPr="00C23923">
        <w:rPr>
          <w:rFonts w:ascii="Tw Cen MT" w:hAnsi="Tw Cen MT" w:cstheme="majorHAnsi"/>
          <w:sz w:val="20"/>
          <w:szCs w:val="20"/>
          <w:lang w:val="en-GB"/>
        </w:rPr>
        <w:t>(</w:t>
      </w:r>
      <w:r w:rsidR="0098319A" w:rsidRPr="00C23923">
        <w:rPr>
          <w:rFonts w:ascii="Tw Cen MT" w:hAnsi="Tw Cen MT" w:cstheme="majorHAnsi"/>
          <w:sz w:val="20"/>
          <w:szCs w:val="20"/>
          <w:lang w:val="en-GB"/>
        </w:rPr>
        <w:t>e.g.,</w:t>
      </w:r>
      <w:r w:rsidR="004B6D89" w:rsidRPr="00C23923">
        <w:rPr>
          <w:rFonts w:ascii="Tw Cen MT" w:hAnsi="Tw Cen MT" w:cstheme="majorHAnsi"/>
          <w:sz w:val="20"/>
          <w:szCs w:val="20"/>
          <w:lang w:val="en-GB"/>
        </w:rPr>
        <w:t xml:space="preserve"> </w:t>
      </w:r>
      <w:r w:rsidR="00500F9C" w:rsidRPr="00C23923">
        <w:rPr>
          <w:rFonts w:ascii="Tw Cen MT" w:hAnsi="Tw Cen MT" w:cstheme="majorHAnsi"/>
          <w:sz w:val="20"/>
          <w:szCs w:val="20"/>
          <w:lang w:val="en-GB"/>
        </w:rPr>
        <w:t>distance to h</w:t>
      </w:r>
      <w:r w:rsidR="005D6CB3" w:rsidRPr="00C23923">
        <w:rPr>
          <w:rFonts w:ascii="Tw Cen MT" w:hAnsi="Tw Cen MT" w:cstheme="majorHAnsi"/>
          <w:sz w:val="20"/>
          <w:szCs w:val="20"/>
          <w:lang w:val="en-GB"/>
        </w:rPr>
        <w:t>ealthcare</w:t>
      </w:r>
      <w:r w:rsidR="00500F9C" w:rsidRPr="00C23923">
        <w:rPr>
          <w:rFonts w:ascii="Tw Cen MT" w:hAnsi="Tw Cen MT" w:cstheme="majorHAnsi"/>
          <w:sz w:val="20"/>
          <w:szCs w:val="20"/>
          <w:lang w:val="en-GB"/>
        </w:rPr>
        <w:t xml:space="preserve"> </w:t>
      </w:r>
      <w:r w:rsidR="0098319A" w:rsidRPr="00C23923">
        <w:rPr>
          <w:rFonts w:ascii="Tw Cen MT" w:hAnsi="Tw Cen MT" w:cstheme="majorHAnsi"/>
          <w:sz w:val="20"/>
          <w:szCs w:val="20"/>
          <w:lang w:val="en-GB"/>
        </w:rPr>
        <w:t>centres</w:t>
      </w:r>
      <w:r w:rsidR="00500F9C" w:rsidRPr="00C23923">
        <w:rPr>
          <w:rFonts w:ascii="Tw Cen MT" w:hAnsi="Tw Cen MT" w:cstheme="majorHAnsi"/>
          <w:sz w:val="20"/>
          <w:szCs w:val="20"/>
          <w:lang w:val="en-GB"/>
        </w:rPr>
        <w:t>, schools</w:t>
      </w:r>
      <w:r w:rsidR="005D6CB3" w:rsidRPr="00C23923">
        <w:rPr>
          <w:rFonts w:ascii="Tw Cen MT" w:hAnsi="Tw Cen MT" w:cstheme="majorHAnsi"/>
          <w:sz w:val="20"/>
          <w:szCs w:val="20"/>
          <w:lang w:val="en-GB"/>
        </w:rPr>
        <w:t>, food</w:t>
      </w:r>
      <w:r w:rsidR="00500F9C" w:rsidRPr="00C23923">
        <w:rPr>
          <w:rFonts w:ascii="Tw Cen MT" w:hAnsi="Tw Cen MT" w:cstheme="majorHAnsi"/>
          <w:sz w:val="20"/>
          <w:szCs w:val="20"/>
          <w:lang w:val="en-GB"/>
        </w:rPr>
        <w:t xml:space="preserve"> or NFI distributions, healthcare and education services only accessible with a fee…</w:t>
      </w:r>
      <w:r w:rsidR="004B6D89" w:rsidRPr="00C23923">
        <w:rPr>
          <w:rFonts w:ascii="Tw Cen MT" w:hAnsi="Tw Cen MT" w:cstheme="majorHAnsi"/>
          <w:sz w:val="20"/>
          <w:szCs w:val="20"/>
          <w:lang w:val="en-GB"/>
        </w:rPr>
        <w:t>)</w:t>
      </w:r>
      <w:r w:rsidR="00500F9C" w:rsidRPr="00C23923">
        <w:rPr>
          <w:rFonts w:ascii="Tw Cen MT" w:hAnsi="Tw Cen MT" w:cstheme="majorHAnsi"/>
          <w:sz w:val="20"/>
          <w:szCs w:val="20"/>
          <w:lang w:val="en-GB"/>
        </w:rPr>
        <w:t xml:space="preserve"> </w:t>
      </w:r>
      <w:r w:rsidR="002D1DCF" w:rsidRPr="00C23923">
        <w:rPr>
          <w:rFonts w:ascii="Tw Cen MT" w:hAnsi="Tw Cen MT" w:cstheme="majorHAnsi"/>
          <w:sz w:val="20"/>
          <w:szCs w:val="20"/>
          <w:lang w:val="en-GB"/>
        </w:rPr>
        <w:t>Oftentimes</w:t>
      </w:r>
      <w:r w:rsidR="00A61070" w:rsidRPr="00C23923">
        <w:rPr>
          <w:rFonts w:ascii="Tw Cen MT" w:hAnsi="Tw Cen MT" w:cstheme="majorHAnsi"/>
          <w:sz w:val="20"/>
          <w:szCs w:val="20"/>
          <w:lang w:val="en-GB"/>
        </w:rPr>
        <w:t xml:space="preserve">, </w:t>
      </w:r>
      <w:r w:rsidR="002D1DCF" w:rsidRPr="00C23923">
        <w:rPr>
          <w:rFonts w:ascii="Tw Cen MT" w:hAnsi="Tw Cen MT" w:cstheme="majorHAnsi"/>
          <w:sz w:val="20"/>
          <w:szCs w:val="20"/>
          <w:lang w:val="en-GB"/>
        </w:rPr>
        <w:t xml:space="preserve">the </w:t>
      </w:r>
      <w:r w:rsidR="00A61070" w:rsidRPr="00C23923">
        <w:rPr>
          <w:rFonts w:ascii="Tw Cen MT" w:hAnsi="Tw Cen MT" w:cstheme="majorHAnsi"/>
          <w:sz w:val="20"/>
          <w:szCs w:val="20"/>
          <w:lang w:val="en-GB"/>
        </w:rPr>
        <w:t xml:space="preserve">crisis impact on the systems and services for women, girls and other </w:t>
      </w:r>
      <w:r w:rsidR="0098319A" w:rsidRPr="00C23923">
        <w:rPr>
          <w:rFonts w:ascii="Tw Cen MT" w:hAnsi="Tw Cen MT" w:cstheme="majorHAnsi"/>
          <w:sz w:val="20"/>
          <w:szCs w:val="20"/>
          <w:lang w:val="en-GB"/>
        </w:rPr>
        <w:t>at-risk</w:t>
      </w:r>
      <w:r w:rsidR="00A61070" w:rsidRPr="00C23923">
        <w:rPr>
          <w:rFonts w:ascii="Tw Cen MT" w:hAnsi="Tw Cen MT" w:cstheme="majorHAnsi"/>
          <w:sz w:val="20"/>
          <w:szCs w:val="20"/>
          <w:lang w:val="en-GB"/>
        </w:rPr>
        <w:t xml:space="preserve"> groups directly lead to increased GBV risks.</w:t>
      </w:r>
    </w:p>
    <w:p w14:paraId="24130901" w14:textId="78AB0CC0" w:rsidR="005D6CB3" w:rsidRPr="00C23923" w:rsidRDefault="005D6CB3" w:rsidP="000020C9">
      <w:pPr>
        <w:pStyle w:val="NoSpacing"/>
        <w:spacing w:before="120"/>
        <w:ind w:left="357"/>
        <w:rPr>
          <w:rFonts w:ascii="Tw Cen MT" w:hAnsi="Tw Cen MT" w:cstheme="majorHAnsi"/>
          <w:sz w:val="20"/>
          <w:szCs w:val="20"/>
          <w:lang w:val="en-GB"/>
        </w:rPr>
      </w:pPr>
      <w:r w:rsidRPr="00C23923">
        <w:rPr>
          <w:rFonts w:ascii="Tw Cen MT" w:hAnsi="Tw Cen MT" w:cstheme="majorHAnsi"/>
          <w:i/>
          <w:sz w:val="20"/>
          <w:szCs w:val="20"/>
          <w:lang w:val="en-GB"/>
        </w:rPr>
        <w:lastRenderedPageBreak/>
        <w:t xml:space="preserve">Why include these? </w:t>
      </w:r>
      <w:r w:rsidR="002071F5" w:rsidRPr="00C23923">
        <w:rPr>
          <w:rFonts w:ascii="Tw Cen MT" w:hAnsi="Tw Cen MT" w:cstheme="majorHAnsi"/>
          <w:i/>
          <w:sz w:val="20"/>
          <w:szCs w:val="20"/>
          <w:lang w:val="en-GB"/>
        </w:rPr>
        <w:br/>
      </w:r>
      <w:r w:rsidR="00AE6B5C" w:rsidRPr="00C23923">
        <w:rPr>
          <w:rFonts w:ascii="Tw Cen MT" w:hAnsi="Tw Cen MT" w:cstheme="majorHAnsi"/>
          <w:sz w:val="20"/>
          <w:szCs w:val="20"/>
          <w:lang w:val="en-GB"/>
        </w:rPr>
        <w:t>Th</w:t>
      </w:r>
      <w:r w:rsidR="00AE6B5C">
        <w:rPr>
          <w:rFonts w:ascii="Tw Cen MT" w:hAnsi="Tw Cen MT" w:cstheme="majorHAnsi"/>
          <w:sz w:val="20"/>
          <w:szCs w:val="20"/>
          <w:lang w:val="en-GB"/>
        </w:rPr>
        <w:t>e information helps you</w:t>
      </w:r>
    </w:p>
    <w:p w14:paraId="44DF0E8E" w14:textId="54AA9D7E" w:rsidR="00D75957" w:rsidRPr="00C23923" w:rsidRDefault="002D1DCF" w:rsidP="00FE1535">
      <w:pPr>
        <w:pStyle w:val="NoSpacing"/>
        <w:numPr>
          <w:ilvl w:val="0"/>
          <w:numId w:val="11"/>
        </w:numPr>
        <w:ind w:left="851"/>
        <w:rPr>
          <w:rFonts w:ascii="Tw Cen MT" w:hAnsi="Tw Cen MT" w:cstheme="majorHAnsi"/>
          <w:sz w:val="20"/>
          <w:szCs w:val="20"/>
          <w:lang w:val="en-GB"/>
        </w:rPr>
      </w:pPr>
      <w:r w:rsidRPr="00C23923">
        <w:rPr>
          <w:rFonts w:ascii="Tw Cen MT" w:hAnsi="Tw Cen MT" w:cstheme="majorHAnsi"/>
          <w:sz w:val="20"/>
          <w:szCs w:val="20"/>
          <w:lang w:val="en-GB"/>
        </w:rPr>
        <w:t>Identify a</w:t>
      </w:r>
      <w:r w:rsidR="00D75957" w:rsidRPr="00C23923">
        <w:rPr>
          <w:rFonts w:ascii="Tw Cen MT" w:hAnsi="Tw Cen MT" w:cstheme="majorHAnsi"/>
          <w:sz w:val="20"/>
          <w:szCs w:val="20"/>
          <w:lang w:val="en-GB"/>
        </w:rPr>
        <w:t xml:space="preserve">vailability of services for basic needs </w:t>
      </w:r>
    </w:p>
    <w:p w14:paraId="094D2BA8" w14:textId="1911118A" w:rsidR="005D6CB3" w:rsidRPr="00C23923" w:rsidRDefault="005D6CB3" w:rsidP="00FE1535">
      <w:pPr>
        <w:pStyle w:val="NoSpacing"/>
        <w:numPr>
          <w:ilvl w:val="0"/>
          <w:numId w:val="11"/>
        </w:numPr>
        <w:ind w:left="851"/>
        <w:rPr>
          <w:rFonts w:ascii="Tw Cen MT" w:hAnsi="Tw Cen MT" w:cstheme="majorHAnsi"/>
          <w:sz w:val="20"/>
          <w:szCs w:val="20"/>
          <w:lang w:val="en-GB"/>
        </w:rPr>
      </w:pPr>
      <w:r w:rsidRPr="00C23923">
        <w:rPr>
          <w:rFonts w:ascii="Tw Cen MT" w:hAnsi="Tw Cen MT" w:cstheme="majorHAnsi"/>
          <w:sz w:val="20"/>
          <w:szCs w:val="20"/>
          <w:lang w:val="en-GB"/>
        </w:rPr>
        <w:t>Understand</w:t>
      </w:r>
      <w:r w:rsidR="00500F9C" w:rsidRPr="00C23923">
        <w:rPr>
          <w:rFonts w:ascii="Tw Cen MT" w:hAnsi="Tw Cen MT" w:cstheme="majorHAnsi"/>
          <w:sz w:val="20"/>
          <w:szCs w:val="20"/>
          <w:lang w:val="en-GB"/>
        </w:rPr>
        <w:t xml:space="preserve"> </w:t>
      </w:r>
      <w:r w:rsidR="00AE6B5C">
        <w:rPr>
          <w:rFonts w:ascii="Tw Cen MT" w:hAnsi="Tw Cen MT" w:cstheme="majorHAnsi"/>
          <w:sz w:val="20"/>
          <w:szCs w:val="20"/>
          <w:lang w:val="en-GB"/>
        </w:rPr>
        <w:t xml:space="preserve">some of the </w:t>
      </w:r>
      <w:r w:rsidR="00500F9C" w:rsidRPr="00C23923">
        <w:rPr>
          <w:rFonts w:ascii="Tw Cen MT" w:hAnsi="Tw Cen MT" w:cstheme="majorHAnsi"/>
          <w:sz w:val="20"/>
          <w:szCs w:val="20"/>
          <w:lang w:val="en-GB"/>
        </w:rPr>
        <w:t xml:space="preserve">barriers to </w:t>
      </w:r>
      <w:r w:rsidRPr="00C23923">
        <w:rPr>
          <w:rFonts w:ascii="Tw Cen MT" w:hAnsi="Tw Cen MT" w:cstheme="majorHAnsi"/>
          <w:sz w:val="20"/>
          <w:szCs w:val="20"/>
          <w:lang w:val="en-GB"/>
        </w:rPr>
        <w:t xml:space="preserve">accessing services </w:t>
      </w:r>
    </w:p>
    <w:p w14:paraId="709079A9" w14:textId="2718A9FE" w:rsidR="005D6CB3" w:rsidRPr="00C23923" w:rsidRDefault="00AE6B5C" w:rsidP="00DA6CCF">
      <w:pPr>
        <w:pStyle w:val="NoSpacing"/>
        <w:numPr>
          <w:ilvl w:val="0"/>
          <w:numId w:val="11"/>
        </w:numPr>
        <w:spacing w:after="120"/>
        <w:ind w:left="850" w:hanging="357"/>
        <w:rPr>
          <w:rFonts w:ascii="Tw Cen MT" w:hAnsi="Tw Cen MT" w:cstheme="majorHAnsi"/>
          <w:sz w:val="20"/>
          <w:szCs w:val="20"/>
          <w:lang w:val="en-GB"/>
        </w:rPr>
      </w:pPr>
      <w:r>
        <w:rPr>
          <w:rFonts w:ascii="Tw Cen MT" w:hAnsi="Tw Cen MT" w:cstheme="majorHAnsi"/>
          <w:sz w:val="20"/>
          <w:szCs w:val="20"/>
          <w:lang w:val="en-GB"/>
        </w:rPr>
        <w:t>Identify deprivation of basic goods and services, a factor that increases risk of GBV</w:t>
      </w:r>
    </w:p>
    <w:p w14:paraId="457C9C44" w14:textId="5CF9E138" w:rsidR="00E4309B" w:rsidRPr="00C23923" w:rsidRDefault="00884E8C" w:rsidP="002071F5">
      <w:pPr>
        <w:pStyle w:val="NoSpacing"/>
        <w:numPr>
          <w:ilvl w:val="0"/>
          <w:numId w:val="5"/>
        </w:numPr>
        <w:jc w:val="both"/>
        <w:rPr>
          <w:rFonts w:ascii="Tw Cen MT" w:hAnsi="Tw Cen MT" w:cstheme="majorHAnsi"/>
          <w:sz w:val="20"/>
          <w:szCs w:val="20"/>
          <w:lang w:val="en-GB"/>
        </w:rPr>
      </w:pPr>
      <w:r w:rsidRPr="00C23923">
        <w:rPr>
          <w:rFonts w:ascii="Tw Cen MT" w:hAnsi="Tw Cen MT" w:cstheme="majorHAnsi"/>
          <w:b/>
          <w:sz w:val="20"/>
          <w:szCs w:val="20"/>
          <w:lang w:val="en-GB"/>
        </w:rPr>
        <w:t xml:space="preserve">Vulnerable conditions: </w:t>
      </w:r>
      <w:r w:rsidR="00DA08CD" w:rsidRPr="00C23923">
        <w:rPr>
          <w:rFonts w:ascii="Tw Cen MT" w:hAnsi="Tw Cen MT" w:cstheme="majorHAnsi"/>
          <w:sz w:val="20"/>
          <w:szCs w:val="20"/>
          <w:lang w:val="en-GB"/>
        </w:rPr>
        <w:t xml:space="preserve">Questions that are looking at </w:t>
      </w:r>
      <w:r w:rsidRPr="00C23923">
        <w:rPr>
          <w:rFonts w:ascii="Tw Cen MT" w:hAnsi="Tw Cen MT" w:cstheme="majorHAnsi"/>
          <w:sz w:val="20"/>
          <w:szCs w:val="20"/>
          <w:lang w:val="en-GB"/>
        </w:rPr>
        <w:t xml:space="preserve">vulnerable conditions of the affected populations as related to </w:t>
      </w:r>
      <w:r w:rsidR="00DA08CD" w:rsidRPr="00C23923">
        <w:rPr>
          <w:rFonts w:ascii="Tw Cen MT" w:hAnsi="Tw Cen MT" w:cstheme="majorHAnsi"/>
          <w:sz w:val="20"/>
          <w:szCs w:val="20"/>
          <w:lang w:val="en-GB"/>
        </w:rPr>
        <w:t>risks of GBV</w:t>
      </w:r>
      <w:r w:rsidR="00DA08CD" w:rsidRPr="00C23923">
        <w:rPr>
          <w:rFonts w:ascii="Tw Cen MT" w:hAnsi="Tw Cen MT" w:cstheme="majorHAnsi"/>
          <w:i/>
          <w:sz w:val="20"/>
          <w:szCs w:val="20"/>
          <w:lang w:val="en-GB"/>
        </w:rPr>
        <w:t xml:space="preserve">. </w:t>
      </w:r>
      <w:r w:rsidR="00DA08CD" w:rsidRPr="00C23923">
        <w:rPr>
          <w:rFonts w:ascii="Tw Cen MT" w:hAnsi="Tw Cen MT" w:cstheme="majorHAnsi"/>
          <w:sz w:val="20"/>
          <w:szCs w:val="20"/>
          <w:lang w:val="en-GB"/>
        </w:rPr>
        <w:t xml:space="preserve">In other words, the indicators may </w:t>
      </w:r>
      <w:r w:rsidR="007E272E" w:rsidRPr="00C23923">
        <w:rPr>
          <w:rFonts w:ascii="Tw Cen MT" w:hAnsi="Tw Cen MT" w:cstheme="majorHAnsi"/>
          <w:sz w:val="20"/>
          <w:szCs w:val="20"/>
          <w:lang w:val="en-GB"/>
        </w:rPr>
        <w:t xml:space="preserve">point at </w:t>
      </w:r>
      <w:r w:rsidR="00DA08CD" w:rsidRPr="00C23923">
        <w:rPr>
          <w:rFonts w:ascii="Tw Cen MT" w:hAnsi="Tw Cen MT" w:cstheme="majorHAnsi"/>
          <w:sz w:val="20"/>
          <w:szCs w:val="20"/>
          <w:lang w:val="en-GB"/>
        </w:rPr>
        <w:t xml:space="preserve">what </w:t>
      </w:r>
      <w:r w:rsidR="00E43655" w:rsidRPr="00C23923">
        <w:rPr>
          <w:rFonts w:ascii="Tw Cen MT" w:hAnsi="Tw Cen MT" w:cstheme="majorHAnsi"/>
          <w:sz w:val="20"/>
          <w:szCs w:val="20"/>
          <w:lang w:val="en-GB"/>
        </w:rPr>
        <w:t xml:space="preserve">geographic </w:t>
      </w:r>
      <w:r w:rsidR="00DA08CD" w:rsidRPr="00C23923">
        <w:rPr>
          <w:rFonts w:ascii="Tw Cen MT" w:hAnsi="Tw Cen MT" w:cstheme="majorHAnsi"/>
          <w:sz w:val="20"/>
          <w:szCs w:val="20"/>
          <w:lang w:val="en-GB"/>
        </w:rPr>
        <w:t xml:space="preserve">areas have high risks of GBV based on </w:t>
      </w:r>
      <w:r w:rsidRPr="00C23923">
        <w:rPr>
          <w:rFonts w:ascii="Tw Cen MT" w:hAnsi="Tw Cen MT"/>
          <w:color w:val="000000"/>
          <w:sz w:val="20"/>
          <w:szCs w:val="20"/>
          <w:shd w:val="clear" w:color="auto" w:fill="FFFFFF"/>
          <w:lang w:val="en-GB"/>
        </w:rPr>
        <w:t>conditions resulted from the shock events that increased affected population</w:t>
      </w:r>
      <w:r w:rsidR="002D1DCF" w:rsidRPr="00C23923">
        <w:rPr>
          <w:rFonts w:ascii="Tw Cen MT" w:hAnsi="Tw Cen MT"/>
          <w:color w:val="000000"/>
          <w:sz w:val="20"/>
          <w:szCs w:val="20"/>
          <w:shd w:val="clear" w:color="auto" w:fill="FFFFFF"/>
          <w:lang w:val="en-GB"/>
        </w:rPr>
        <w:t>’</w:t>
      </w:r>
      <w:r w:rsidRPr="00C23923">
        <w:rPr>
          <w:rFonts w:ascii="Tw Cen MT" w:hAnsi="Tw Cen MT"/>
          <w:color w:val="000000"/>
          <w:sz w:val="20"/>
          <w:szCs w:val="20"/>
          <w:shd w:val="clear" w:color="auto" w:fill="FFFFFF"/>
          <w:lang w:val="en-GB"/>
        </w:rPr>
        <w:t>s vulnerabilities</w:t>
      </w:r>
      <w:r w:rsidR="002D1DCF" w:rsidRPr="00C23923">
        <w:rPr>
          <w:rFonts w:ascii="Tw Cen MT" w:hAnsi="Tw Cen MT"/>
          <w:color w:val="000000"/>
          <w:sz w:val="20"/>
          <w:szCs w:val="20"/>
          <w:shd w:val="clear" w:color="auto" w:fill="FFFFFF"/>
          <w:lang w:val="en-GB"/>
        </w:rPr>
        <w:t>.</w:t>
      </w:r>
      <w:r w:rsidRPr="00C23923">
        <w:rPr>
          <w:rFonts w:ascii="Tw Cen MT" w:hAnsi="Tw Cen MT"/>
          <w:color w:val="000000"/>
          <w:sz w:val="20"/>
          <w:szCs w:val="20"/>
          <w:shd w:val="clear" w:color="auto" w:fill="FFFFFF"/>
          <w:lang w:val="en-GB"/>
        </w:rPr>
        <w:t xml:space="preserve"> </w:t>
      </w:r>
      <w:r w:rsidR="002D1DCF" w:rsidRPr="00C23923">
        <w:rPr>
          <w:rFonts w:ascii="Tw Cen MT" w:hAnsi="Tw Cen MT"/>
          <w:color w:val="000000"/>
          <w:sz w:val="20"/>
          <w:szCs w:val="20"/>
          <w:shd w:val="clear" w:color="auto" w:fill="FFFFFF"/>
          <w:lang w:val="en-GB"/>
        </w:rPr>
        <w:t xml:space="preserve">These </w:t>
      </w:r>
      <w:r w:rsidRPr="00C23923">
        <w:rPr>
          <w:rFonts w:ascii="Tw Cen MT" w:hAnsi="Tw Cen MT"/>
          <w:color w:val="000000"/>
          <w:sz w:val="20"/>
          <w:szCs w:val="20"/>
          <w:shd w:val="clear" w:color="auto" w:fill="FFFFFF"/>
          <w:lang w:val="en-GB"/>
        </w:rPr>
        <w:t>includ</w:t>
      </w:r>
      <w:r w:rsidR="002D1DCF" w:rsidRPr="00C23923">
        <w:rPr>
          <w:rFonts w:ascii="Tw Cen MT" w:hAnsi="Tw Cen MT"/>
          <w:color w:val="000000"/>
          <w:sz w:val="20"/>
          <w:szCs w:val="20"/>
          <w:shd w:val="clear" w:color="auto" w:fill="FFFFFF"/>
          <w:lang w:val="en-GB"/>
        </w:rPr>
        <w:t>e</w:t>
      </w:r>
      <w:r w:rsidRPr="00C23923">
        <w:rPr>
          <w:rFonts w:ascii="Tw Cen MT" w:hAnsi="Tw Cen MT"/>
          <w:color w:val="000000"/>
          <w:sz w:val="20"/>
          <w:szCs w:val="20"/>
          <w:shd w:val="clear" w:color="auto" w:fill="FFFFFF"/>
          <w:lang w:val="en-GB"/>
        </w:rPr>
        <w:t xml:space="preserve"> the level of exposure to environmental threats, economic impact, displacement-induced protection issues</w:t>
      </w:r>
      <w:r w:rsidR="004B6D89" w:rsidRPr="00C23923">
        <w:rPr>
          <w:rFonts w:ascii="Tw Cen MT" w:hAnsi="Tw Cen MT"/>
          <w:color w:val="000000"/>
          <w:sz w:val="20"/>
          <w:szCs w:val="20"/>
          <w:shd w:val="clear" w:color="auto" w:fill="FFFFFF"/>
          <w:lang w:val="en-GB"/>
        </w:rPr>
        <w:t xml:space="preserve"> (e.g.</w:t>
      </w:r>
      <w:r w:rsidR="009B7504">
        <w:rPr>
          <w:rFonts w:ascii="Tw Cen MT" w:hAnsi="Tw Cen MT"/>
          <w:color w:val="000000"/>
          <w:sz w:val="20"/>
          <w:szCs w:val="20"/>
          <w:shd w:val="clear" w:color="auto" w:fill="FFFFFF"/>
          <w:lang w:val="en-GB"/>
        </w:rPr>
        <w:t>,</w:t>
      </w:r>
      <w:r w:rsidR="004B6D89" w:rsidRPr="00C23923">
        <w:rPr>
          <w:rFonts w:ascii="Tw Cen MT" w:hAnsi="Tw Cen MT"/>
          <w:color w:val="000000"/>
          <w:sz w:val="20"/>
          <w:szCs w:val="20"/>
          <w:shd w:val="clear" w:color="auto" w:fill="FFFFFF"/>
          <w:lang w:val="en-GB"/>
        </w:rPr>
        <w:t xml:space="preserve"> loss of documents for identity, housing land properties)</w:t>
      </w:r>
      <w:r w:rsidR="002D1DCF" w:rsidRPr="00C23923">
        <w:rPr>
          <w:rFonts w:ascii="Tw Cen MT" w:hAnsi="Tw Cen MT"/>
          <w:color w:val="000000"/>
          <w:sz w:val="20"/>
          <w:szCs w:val="20"/>
          <w:shd w:val="clear" w:color="auto" w:fill="FFFFFF"/>
          <w:lang w:val="en-GB"/>
        </w:rPr>
        <w:t xml:space="preserve">, restriction of movement. </w:t>
      </w:r>
      <w:r w:rsidR="002D1DCF" w:rsidRPr="00C23923">
        <w:rPr>
          <w:rFonts w:ascii="Tw Cen MT" w:hAnsi="Tw Cen MT" w:cstheme="majorHAnsi"/>
          <w:sz w:val="20"/>
          <w:szCs w:val="20"/>
          <w:lang w:val="en-GB"/>
        </w:rPr>
        <w:t xml:space="preserve">No </w:t>
      </w:r>
      <w:r w:rsidR="00DA08CD" w:rsidRPr="00C23923">
        <w:rPr>
          <w:rFonts w:ascii="Tw Cen MT" w:hAnsi="Tw Cen MT" w:cstheme="majorHAnsi"/>
          <w:i/>
          <w:sz w:val="20"/>
          <w:szCs w:val="20"/>
          <w:lang w:val="en-GB"/>
        </w:rPr>
        <w:t xml:space="preserve">explicit reference </w:t>
      </w:r>
      <w:r w:rsidR="00DA08CD" w:rsidRPr="00C23923">
        <w:rPr>
          <w:rFonts w:ascii="Tw Cen MT" w:hAnsi="Tw Cen MT" w:cstheme="majorHAnsi"/>
          <w:sz w:val="20"/>
          <w:szCs w:val="20"/>
          <w:lang w:val="en-GB"/>
        </w:rPr>
        <w:t>is made to GBV</w:t>
      </w:r>
      <w:r w:rsidR="002D1DCF" w:rsidRPr="00C23923">
        <w:rPr>
          <w:rFonts w:ascii="Tw Cen MT" w:hAnsi="Tw Cen MT" w:cstheme="majorHAnsi"/>
          <w:sz w:val="20"/>
          <w:szCs w:val="20"/>
          <w:lang w:val="en-GB"/>
        </w:rPr>
        <w:t xml:space="preserve"> in these questions</w:t>
      </w:r>
      <w:r w:rsidR="00DA08CD" w:rsidRPr="00C23923">
        <w:rPr>
          <w:rFonts w:ascii="Tw Cen MT" w:hAnsi="Tw Cen MT" w:cstheme="majorHAnsi"/>
          <w:sz w:val="20"/>
          <w:szCs w:val="20"/>
          <w:lang w:val="en-GB"/>
        </w:rPr>
        <w:t xml:space="preserve">. </w:t>
      </w:r>
    </w:p>
    <w:p w14:paraId="576418E6" w14:textId="2744AEC9" w:rsidR="002B75D1" w:rsidRPr="00C23923" w:rsidRDefault="002071F5" w:rsidP="000020C9">
      <w:pPr>
        <w:pStyle w:val="NoSpacing"/>
        <w:spacing w:before="120"/>
        <w:ind w:left="357"/>
        <w:rPr>
          <w:rFonts w:ascii="Tw Cen MT" w:hAnsi="Tw Cen MT" w:cstheme="majorHAnsi"/>
          <w:sz w:val="20"/>
          <w:szCs w:val="20"/>
          <w:lang w:val="en-GB"/>
        </w:rPr>
      </w:pPr>
      <w:r w:rsidRPr="00C23923">
        <w:rPr>
          <w:rFonts w:ascii="Tw Cen MT" w:hAnsi="Tw Cen MT" w:cstheme="majorHAnsi"/>
          <w:i/>
          <w:sz w:val="20"/>
          <w:szCs w:val="20"/>
          <w:lang w:val="en-GB"/>
        </w:rPr>
        <w:t>Why use these</w:t>
      </w:r>
      <w:r w:rsidR="000F7503" w:rsidRPr="00C23923">
        <w:rPr>
          <w:rFonts w:ascii="Tw Cen MT" w:hAnsi="Tw Cen MT" w:cstheme="majorHAnsi"/>
          <w:i/>
          <w:sz w:val="20"/>
          <w:szCs w:val="20"/>
          <w:lang w:val="en-GB"/>
        </w:rPr>
        <w:t>?</w:t>
      </w:r>
      <w:r w:rsidR="007E272E" w:rsidRPr="00C23923">
        <w:rPr>
          <w:rFonts w:ascii="Tw Cen MT" w:hAnsi="Tw Cen MT" w:cstheme="majorHAnsi"/>
          <w:i/>
          <w:sz w:val="20"/>
          <w:szCs w:val="20"/>
          <w:lang w:val="en-GB"/>
        </w:rPr>
        <w:t xml:space="preserve"> </w:t>
      </w:r>
      <w:r w:rsidRPr="00C23923">
        <w:rPr>
          <w:rFonts w:ascii="Tw Cen MT" w:hAnsi="Tw Cen MT" w:cstheme="majorHAnsi"/>
          <w:i/>
          <w:sz w:val="20"/>
          <w:szCs w:val="20"/>
          <w:lang w:val="en-GB"/>
        </w:rPr>
        <w:br/>
      </w:r>
      <w:r w:rsidR="00ED0271" w:rsidRPr="00C23923">
        <w:rPr>
          <w:rFonts w:ascii="Tw Cen MT" w:hAnsi="Tw Cen MT" w:cstheme="majorHAnsi"/>
          <w:sz w:val="20"/>
          <w:szCs w:val="20"/>
          <w:lang w:val="en-GB"/>
        </w:rPr>
        <w:t>Indicators on vulnerable conditions</w:t>
      </w:r>
      <w:r w:rsidR="007E272E" w:rsidRPr="00C23923">
        <w:rPr>
          <w:rFonts w:ascii="Tw Cen MT" w:hAnsi="Tw Cen MT" w:cstheme="majorHAnsi"/>
          <w:sz w:val="20"/>
          <w:szCs w:val="20"/>
          <w:lang w:val="en-GB"/>
        </w:rPr>
        <w:t xml:space="preserve"> </w:t>
      </w:r>
      <w:r w:rsidR="004B6D89" w:rsidRPr="00C23923">
        <w:rPr>
          <w:rFonts w:ascii="Tw Cen MT" w:hAnsi="Tw Cen MT" w:cstheme="majorHAnsi"/>
          <w:sz w:val="20"/>
          <w:szCs w:val="20"/>
          <w:lang w:val="en-GB"/>
        </w:rPr>
        <w:t xml:space="preserve">can </w:t>
      </w:r>
      <w:r w:rsidR="002D1DCF" w:rsidRPr="00C23923">
        <w:rPr>
          <w:rFonts w:ascii="Tw Cen MT" w:hAnsi="Tw Cen MT" w:cstheme="majorHAnsi"/>
          <w:sz w:val="20"/>
          <w:szCs w:val="20"/>
          <w:lang w:val="en-GB"/>
        </w:rPr>
        <w:t xml:space="preserve">support both </w:t>
      </w:r>
      <w:r w:rsidR="004B6D89" w:rsidRPr="00C23923">
        <w:rPr>
          <w:rFonts w:ascii="Tw Cen MT" w:hAnsi="Tw Cen MT" w:cstheme="majorHAnsi"/>
          <w:sz w:val="20"/>
          <w:szCs w:val="20"/>
          <w:lang w:val="en-GB"/>
        </w:rPr>
        <w:t>“</w:t>
      </w:r>
      <w:r w:rsidR="007E272E" w:rsidRPr="00C23923">
        <w:rPr>
          <w:rFonts w:ascii="Tw Cen MT" w:hAnsi="Tw Cen MT" w:cstheme="majorHAnsi"/>
          <w:i/>
          <w:sz w:val="20"/>
          <w:szCs w:val="20"/>
          <w:lang w:val="en-GB"/>
        </w:rPr>
        <w:t>strategic</w:t>
      </w:r>
      <w:r w:rsidR="004B6D89" w:rsidRPr="00C23923">
        <w:rPr>
          <w:rFonts w:ascii="Tw Cen MT" w:hAnsi="Tw Cen MT" w:cstheme="majorHAnsi"/>
          <w:i/>
          <w:sz w:val="20"/>
          <w:szCs w:val="20"/>
          <w:lang w:val="en-GB"/>
        </w:rPr>
        <w:t>”</w:t>
      </w:r>
      <w:r w:rsidR="007E272E" w:rsidRPr="00C23923">
        <w:rPr>
          <w:rFonts w:ascii="Tw Cen MT" w:hAnsi="Tw Cen MT" w:cstheme="majorHAnsi"/>
          <w:i/>
          <w:sz w:val="20"/>
          <w:szCs w:val="20"/>
          <w:lang w:val="en-GB"/>
        </w:rPr>
        <w:t xml:space="preserve"> </w:t>
      </w:r>
      <w:r w:rsidR="007E272E" w:rsidRPr="00C23923">
        <w:rPr>
          <w:rFonts w:ascii="Tw Cen MT" w:hAnsi="Tw Cen MT" w:cstheme="majorHAnsi"/>
          <w:sz w:val="20"/>
          <w:szCs w:val="20"/>
          <w:lang w:val="en-GB"/>
        </w:rPr>
        <w:t xml:space="preserve">and </w:t>
      </w:r>
      <w:r w:rsidR="004B6D89" w:rsidRPr="00C23923">
        <w:rPr>
          <w:rFonts w:ascii="Tw Cen MT" w:hAnsi="Tw Cen MT" w:cstheme="majorHAnsi"/>
          <w:sz w:val="20"/>
          <w:szCs w:val="20"/>
          <w:lang w:val="en-GB"/>
        </w:rPr>
        <w:t>“</w:t>
      </w:r>
      <w:r w:rsidR="007E272E" w:rsidRPr="00C23923">
        <w:rPr>
          <w:rFonts w:ascii="Tw Cen MT" w:hAnsi="Tw Cen MT" w:cstheme="majorHAnsi"/>
          <w:i/>
          <w:sz w:val="20"/>
          <w:szCs w:val="20"/>
          <w:lang w:val="en-GB"/>
        </w:rPr>
        <w:t>operational</w:t>
      </w:r>
      <w:r w:rsidR="004B6D89" w:rsidRPr="00C23923">
        <w:rPr>
          <w:rFonts w:ascii="Tw Cen MT" w:hAnsi="Tw Cen MT" w:cstheme="majorHAnsi"/>
          <w:i/>
          <w:sz w:val="20"/>
          <w:szCs w:val="20"/>
          <w:lang w:val="en-GB"/>
        </w:rPr>
        <w:t>”</w:t>
      </w:r>
      <w:r w:rsidR="007E272E" w:rsidRPr="00C23923">
        <w:rPr>
          <w:rFonts w:ascii="Tw Cen MT" w:hAnsi="Tw Cen MT" w:cstheme="majorHAnsi"/>
          <w:i/>
          <w:sz w:val="20"/>
          <w:szCs w:val="20"/>
          <w:lang w:val="en-GB"/>
        </w:rPr>
        <w:t xml:space="preserve"> </w:t>
      </w:r>
      <w:r w:rsidR="007E272E" w:rsidRPr="00C23923">
        <w:rPr>
          <w:rFonts w:ascii="Tw Cen MT" w:hAnsi="Tw Cen MT" w:cstheme="majorHAnsi"/>
          <w:sz w:val="20"/>
          <w:szCs w:val="20"/>
          <w:lang w:val="en-GB"/>
        </w:rPr>
        <w:t xml:space="preserve">decision-making. </w:t>
      </w:r>
      <w:r w:rsidR="004B6D89" w:rsidRPr="00C23923">
        <w:rPr>
          <w:rFonts w:ascii="Tw Cen MT" w:hAnsi="Tw Cen MT" w:cstheme="majorHAnsi"/>
          <w:sz w:val="20"/>
          <w:szCs w:val="20"/>
          <w:lang w:val="en-GB"/>
        </w:rPr>
        <w:t xml:space="preserve">Many </w:t>
      </w:r>
      <w:r w:rsidR="004E2432">
        <w:rPr>
          <w:rFonts w:ascii="Tw Cen MT" w:hAnsi="Tw Cen MT" w:cstheme="majorHAnsi"/>
          <w:sz w:val="20"/>
          <w:szCs w:val="20"/>
          <w:lang w:val="en-GB"/>
        </w:rPr>
        <w:t>of them</w:t>
      </w:r>
      <w:r w:rsidR="007E272E" w:rsidRPr="00C23923">
        <w:rPr>
          <w:rFonts w:ascii="Tw Cen MT" w:hAnsi="Tw Cen MT" w:cstheme="majorHAnsi"/>
          <w:sz w:val="20"/>
          <w:szCs w:val="20"/>
          <w:lang w:val="en-GB"/>
        </w:rPr>
        <w:t xml:space="preserve"> can be </w:t>
      </w:r>
      <w:r w:rsidR="009B7504" w:rsidRPr="00C23923">
        <w:rPr>
          <w:rFonts w:ascii="Tw Cen MT" w:hAnsi="Tw Cen MT" w:cstheme="majorHAnsi"/>
          <w:i/>
          <w:sz w:val="20"/>
          <w:szCs w:val="20"/>
          <w:lang w:val="en-GB"/>
        </w:rPr>
        <w:t>quantified</w:t>
      </w:r>
      <w:r w:rsidR="009B7504" w:rsidRPr="00C23923">
        <w:rPr>
          <w:rFonts w:ascii="Tw Cen MT" w:hAnsi="Tw Cen MT" w:cstheme="majorHAnsi"/>
          <w:sz w:val="20"/>
          <w:szCs w:val="20"/>
          <w:lang w:val="en-GB"/>
        </w:rPr>
        <w:t xml:space="preserve"> and</w:t>
      </w:r>
      <w:r w:rsidR="004B6D89" w:rsidRPr="00C23923">
        <w:rPr>
          <w:rFonts w:ascii="Tw Cen MT" w:hAnsi="Tw Cen MT" w:cstheme="majorHAnsi"/>
          <w:sz w:val="20"/>
          <w:szCs w:val="20"/>
          <w:lang w:val="en-GB"/>
        </w:rPr>
        <w:t xml:space="preserve"> </w:t>
      </w:r>
      <w:r w:rsidR="007E272E" w:rsidRPr="00C23923">
        <w:rPr>
          <w:rFonts w:ascii="Tw Cen MT" w:hAnsi="Tw Cen MT" w:cstheme="majorHAnsi"/>
          <w:sz w:val="20"/>
          <w:szCs w:val="20"/>
          <w:lang w:val="en-GB"/>
        </w:rPr>
        <w:t>can</w:t>
      </w:r>
      <w:r w:rsidR="00E43655" w:rsidRPr="00C23923">
        <w:rPr>
          <w:rFonts w:ascii="Tw Cen MT" w:hAnsi="Tw Cen MT" w:cstheme="majorHAnsi"/>
          <w:sz w:val="20"/>
          <w:szCs w:val="20"/>
          <w:lang w:val="en-GB"/>
        </w:rPr>
        <w:t xml:space="preserve"> </w:t>
      </w:r>
      <w:r w:rsidR="004B6D89" w:rsidRPr="00C23923">
        <w:rPr>
          <w:rFonts w:ascii="Tw Cen MT" w:hAnsi="Tw Cen MT" w:cstheme="majorHAnsi"/>
          <w:sz w:val="20"/>
          <w:szCs w:val="20"/>
          <w:lang w:val="en-GB"/>
        </w:rPr>
        <w:t xml:space="preserve">therefore </w:t>
      </w:r>
      <w:r w:rsidR="007E272E" w:rsidRPr="00C23923">
        <w:rPr>
          <w:rFonts w:ascii="Tw Cen MT" w:hAnsi="Tw Cen MT" w:cstheme="majorHAnsi"/>
          <w:sz w:val="20"/>
          <w:szCs w:val="20"/>
          <w:lang w:val="en-GB"/>
        </w:rPr>
        <w:t>be used to build prioritization models and decide wher</w:t>
      </w:r>
      <w:r w:rsidR="00916701" w:rsidRPr="00C23923">
        <w:rPr>
          <w:rFonts w:ascii="Tw Cen MT" w:hAnsi="Tw Cen MT" w:cstheme="majorHAnsi"/>
          <w:sz w:val="20"/>
          <w:szCs w:val="20"/>
          <w:lang w:val="en-GB"/>
        </w:rPr>
        <w:t xml:space="preserve">e </w:t>
      </w:r>
      <w:r w:rsidR="007E272E" w:rsidRPr="00C23923">
        <w:rPr>
          <w:rFonts w:ascii="Tw Cen MT" w:hAnsi="Tw Cen MT" w:cstheme="majorHAnsi"/>
          <w:sz w:val="20"/>
          <w:szCs w:val="20"/>
          <w:lang w:val="en-GB"/>
        </w:rPr>
        <w:t>to focus response efforts</w:t>
      </w:r>
      <w:r w:rsidR="00C05191" w:rsidRPr="00C23923">
        <w:rPr>
          <w:rFonts w:ascii="Tw Cen MT" w:hAnsi="Tw Cen MT" w:cstheme="majorHAnsi"/>
          <w:sz w:val="20"/>
          <w:szCs w:val="20"/>
          <w:lang w:val="en-GB"/>
        </w:rPr>
        <w:t xml:space="preserve">. </w:t>
      </w:r>
      <w:r w:rsidR="00916701" w:rsidRPr="00C23923">
        <w:rPr>
          <w:rFonts w:ascii="Tw Cen MT" w:hAnsi="Tw Cen MT" w:cstheme="majorHAnsi"/>
          <w:sz w:val="20"/>
          <w:szCs w:val="20"/>
          <w:lang w:val="en-GB"/>
        </w:rPr>
        <w:t>These indicators can also inform programming decisions (on what to focus response efforts).</w:t>
      </w:r>
    </w:p>
    <w:p w14:paraId="18BD4BA2" w14:textId="502E3829" w:rsidR="004B6D89" w:rsidRPr="00C23923" w:rsidRDefault="004B6D89" w:rsidP="00E43655">
      <w:pPr>
        <w:pStyle w:val="NoSpacing"/>
        <w:jc w:val="both"/>
        <w:rPr>
          <w:rFonts w:ascii="Tw Cen MT" w:hAnsi="Tw Cen MT" w:cstheme="majorHAnsi"/>
          <w:sz w:val="20"/>
          <w:szCs w:val="20"/>
          <w:lang w:val="en-GB"/>
        </w:rPr>
      </w:pPr>
    </w:p>
    <w:p w14:paraId="63D47AE6" w14:textId="79EC355E" w:rsidR="00E43655" w:rsidRPr="00C23923" w:rsidRDefault="00E43655" w:rsidP="00E43655">
      <w:pPr>
        <w:pStyle w:val="NoSpacing"/>
        <w:jc w:val="both"/>
        <w:rPr>
          <w:rFonts w:ascii="Tw Cen MT" w:hAnsi="Tw Cen MT" w:cstheme="majorHAnsi"/>
          <w:sz w:val="20"/>
          <w:szCs w:val="20"/>
          <w:lang w:val="en-GB"/>
        </w:rPr>
      </w:pPr>
      <w:r w:rsidRPr="00C23923">
        <w:rPr>
          <w:rFonts w:ascii="Tw Cen MT" w:hAnsi="Tw Cen MT" w:cstheme="majorHAnsi"/>
          <w:sz w:val="20"/>
          <w:szCs w:val="20"/>
          <w:lang w:val="en-GB"/>
        </w:rPr>
        <w:t xml:space="preserve">Keep in mind that the DTM serves as an </w:t>
      </w:r>
      <w:r w:rsidRPr="00C23923">
        <w:rPr>
          <w:rFonts w:ascii="Tw Cen MT" w:hAnsi="Tw Cen MT" w:cstheme="majorHAnsi"/>
          <w:b/>
          <w:sz w:val="20"/>
          <w:szCs w:val="20"/>
          <w:lang w:val="en-GB"/>
        </w:rPr>
        <w:t>indication</w:t>
      </w:r>
      <w:r w:rsidRPr="00C23923">
        <w:rPr>
          <w:rFonts w:ascii="Tw Cen MT" w:hAnsi="Tw Cen MT" w:cstheme="majorHAnsi"/>
          <w:sz w:val="20"/>
          <w:szCs w:val="20"/>
          <w:lang w:val="en-GB"/>
        </w:rPr>
        <w:t xml:space="preserve"> of where risks to GBV may be high. In order to come to better conclusions, GBV actors will have to conduct follow-up assessments in areas where DTM indicates risks are high.</w:t>
      </w:r>
    </w:p>
    <w:p w14:paraId="2F0B8164" w14:textId="77777777" w:rsidR="006C081F" w:rsidRPr="00C23923" w:rsidRDefault="006C081F" w:rsidP="007F5E63">
      <w:pPr>
        <w:pStyle w:val="NoSpacing"/>
        <w:jc w:val="both"/>
        <w:rPr>
          <w:rFonts w:ascii="Tw Cen MT" w:hAnsi="Tw Cen MT" w:cs="Arial"/>
          <w:i/>
          <w:sz w:val="28"/>
          <w:lang w:val="en-GB"/>
        </w:rPr>
      </w:pPr>
    </w:p>
    <w:p w14:paraId="6EECB637" w14:textId="3BB069B5" w:rsidR="006C081F" w:rsidRPr="00F472D3" w:rsidRDefault="006C081F" w:rsidP="00F472D3">
      <w:pPr>
        <w:pStyle w:val="Heading1"/>
        <w:numPr>
          <w:ilvl w:val="0"/>
          <w:numId w:val="25"/>
        </w:numPr>
        <w:spacing w:before="0" w:line="240" w:lineRule="auto"/>
        <w:ind w:left="714" w:hanging="357"/>
        <w:rPr>
          <w:rFonts w:ascii="Tw Cen MT" w:hAnsi="Tw Cen MT"/>
          <w:i/>
          <w:iCs/>
          <w:color w:val="auto"/>
          <w:sz w:val="28"/>
          <w:szCs w:val="28"/>
          <w:u w:val="single"/>
          <w:lang w:val="en-GB"/>
        </w:rPr>
      </w:pPr>
      <w:bookmarkStart w:id="10" w:name="_Toc113354906"/>
      <w:r w:rsidRPr="00F472D3">
        <w:rPr>
          <w:rFonts w:ascii="Tw Cen MT" w:hAnsi="Tw Cen MT"/>
          <w:i/>
          <w:iCs/>
          <w:color w:val="auto"/>
          <w:sz w:val="28"/>
          <w:szCs w:val="28"/>
          <w:u w:val="single"/>
          <w:lang w:val="en-GB"/>
        </w:rPr>
        <w:t>What</w:t>
      </w:r>
      <w:r w:rsidR="00E43655" w:rsidRPr="00F472D3">
        <w:rPr>
          <w:rFonts w:ascii="Tw Cen MT" w:hAnsi="Tw Cen MT"/>
          <w:i/>
          <w:iCs/>
          <w:color w:val="auto"/>
          <w:sz w:val="28"/>
          <w:szCs w:val="28"/>
          <w:u w:val="single"/>
          <w:lang w:val="en-GB"/>
        </w:rPr>
        <w:t xml:space="preserve"> should I</w:t>
      </w:r>
      <w:r w:rsidRPr="00F472D3">
        <w:rPr>
          <w:rFonts w:ascii="Tw Cen MT" w:hAnsi="Tw Cen MT"/>
          <w:i/>
          <w:iCs/>
          <w:color w:val="auto"/>
          <w:sz w:val="28"/>
          <w:szCs w:val="28"/>
          <w:u w:val="single"/>
          <w:lang w:val="en-GB"/>
        </w:rPr>
        <w:t xml:space="preserve"> NOT </w:t>
      </w:r>
      <w:r w:rsidR="00E43655" w:rsidRPr="00F472D3">
        <w:rPr>
          <w:rFonts w:ascii="Tw Cen MT" w:hAnsi="Tw Cen MT"/>
          <w:i/>
          <w:iCs/>
          <w:color w:val="auto"/>
          <w:sz w:val="28"/>
          <w:szCs w:val="28"/>
          <w:u w:val="single"/>
          <w:lang w:val="en-GB"/>
        </w:rPr>
        <w:t>include?</w:t>
      </w:r>
      <w:bookmarkEnd w:id="10"/>
    </w:p>
    <w:p w14:paraId="0A1758F7" w14:textId="2CD261F5" w:rsidR="006C081F" w:rsidRPr="00C23923" w:rsidRDefault="00E43655" w:rsidP="006C081F">
      <w:pPr>
        <w:pStyle w:val="NoSpacing"/>
        <w:jc w:val="both"/>
        <w:rPr>
          <w:rFonts w:ascii="Tw Cen MT" w:hAnsi="Tw Cen MT" w:cs="Arial"/>
          <w:sz w:val="20"/>
          <w:lang w:val="en-GB"/>
        </w:rPr>
      </w:pPr>
      <w:r w:rsidRPr="00C23923">
        <w:rPr>
          <w:rFonts w:ascii="Tw Cen MT" w:hAnsi="Tw Cen MT" w:cs="Arial"/>
          <w:sz w:val="20"/>
          <w:lang w:val="en-GB"/>
        </w:rPr>
        <w:t xml:space="preserve">You may potentially want to include questions different to the ones that are proposed in the Field Companion – as some questions you come up with are better suited to your context. In all contexts, keep in mind: </w:t>
      </w:r>
    </w:p>
    <w:p w14:paraId="461F8425" w14:textId="77777777" w:rsidR="00E43655" w:rsidRPr="00C23923" w:rsidRDefault="00E43655" w:rsidP="006C081F">
      <w:pPr>
        <w:pStyle w:val="NoSpacing"/>
        <w:jc w:val="both"/>
        <w:rPr>
          <w:rFonts w:ascii="Tw Cen MT" w:hAnsi="Tw Cen MT" w:cs="Arial"/>
          <w:sz w:val="20"/>
          <w:lang w:val="en-GB"/>
        </w:rPr>
      </w:pPr>
    </w:p>
    <w:p w14:paraId="3CBCAE4F" w14:textId="301A019D" w:rsidR="006C081F" w:rsidRPr="00C23923" w:rsidRDefault="006C081F" w:rsidP="006C081F">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w Cen MT" w:hAnsi="Tw Cen MT" w:cs="Arial"/>
          <w:sz w:val="24"/>
          <w:lang w:val="en-GB"/>
        </w:rPr>
      </w:pPr>
      <w:r w:rsidRPr="00C23923">
        <w:rPr>
          <w:rFonts w:ascii="Tw Cen MT" w:hAnsi="Tw Cen MT" w:cs="Arial"/>
          <w:b/>
          <w:sz w:val="24"/>
          <w:lang w:val="en-GB"/>
        </w:rPr>
        <w:t>Do not include questions that aim at collecting data on incidence</w:t>
      </w:r>
      <w:r w:rsidR="004E2432">
        <w:rPr>
          <w:rFonts w:ascii="Tw Cen MT" w:hAnsi="Tw Cen MT" w:cs="Arial"/>
          <w:b/>
          <w:sz w:val="24"/>
          <w:lang w:val="en-GB"/>
        </w:rPr>
        <w:t xml:space="preserve"> of GBV</w:t>
      </w:r>
      <w:r w:rsidRPr="00C23923">
        <w:rPr>
          <w:rFonts w:ascii="Tw Cen MT" w:hAnsi="Tw Cen MT" w:cs="Arial"/>
          <w:b/>
          <w:sz w:val="24"/>
          <w:lang w:val="en-GB"/>
        </w:rPr>
        <w:t xml:space="preserve">, </w:t>
      </w:r>
      <w:r w:rsidR="004E2432">
        <w:rPr>
          <w:rFonts w:ascii="Tw Cen MT" w:hAnsi="Tw Cen MT" w:cs="Arial"/>
          <w:b/>
          <w:sz w:val="24"/>
          <w:lang w:val="en-GB"/>
        </w:rPr>
        <w:t xml:space="preserve">GBV </w:t>
      </w:r>
      <w:r w:rsidRPr="00C23923">
        <w:rPr>
          <w:rFonts w:ascii="Tw Cen MT" w:hAnsi="Tw Cen MT" w:cs="Arial"/>
          <w:b/>
          <w:sz w:val="24"/>
          <w:lang w:val="en-GB"/>
        </w:rPr>
        <w:t xml:space="preserve">prevalence, or types of GBV occurring. The DTM </w:t>
      </w:r>
      <w:r w:rsidR="000F7503" w:rsidRPr="00C23923">
        <w:rPr>
          <w:rFonts w:ascii="Tw Cen MT" w:hAnsi="Tw Cen MT" w:cs="Arial"/>
          <w:b/>
          <w:sz w:val="24"/>
          <w:lang w:val="en-GB"/>
        </w:rPr>
        <w:t xml:space="preserve">MSLA </w:t>
      </w:r>
      <w:r w:rsidRPr="00C23923">
        <w:rPr>
          <w:rFonts w:ascii="Tw Cen MT" w:hAnsi="Tw Cen MT" w:cs="Arial"/>
          <w:b/>
          <w:sz w:val="24"/>
          <w:lang w:val="en-GB"/>
        </w:rPr>
        <w:t xml:space="preserve">does not have the appropriate methodology to collect such information. Inclusion of these questions can harm people. </w:t>
      </w:r>
    </w:p>
    <w:p w14:paraId="56EA7BC5" w14:textId="1450537E" w:rsidR="006C081F" w:rsidRPr="00C23923" w:rsidRDefault="006C081F" w:rsidP="006C081F">
      <w:pPr>
        <w:pStyle w:val="NoSpacing"/>
        <w:jc w:val="both"/>
        <w:rPr>
          <w:rFonts w:ascii="Tw Cen MT" w:hAnsi="Tw Cen MT" w:cstheme="majorHAnsi"/>
          <w:sz w:val="20"/>
          <w:szCs w:val="20"/>
          <w:lang w:val="en-GB"/>
        </w:rPr>
      </w:pPr>
      <w:r w:rsidRPr="00C23923">
        <w:rPr>
          <w:rFonts w:ascii="Tw Cen MT" w:hAnsi="Tw Cen MT" w:cs="Arial"/>
          <w:sz w:val="20"/>
          <w:szCs w:val="20"/>
          <w:lang w:val="en-GB"/>
        </w:rPr>
        <w:t xml:space="preserve">Remember that there is shared agreement at the highest level that </w:t>
      </w:r>
      <w:r w:rsidR="00E43655" w:rsidRPr="00C23923">
        <w:rPr>
          <w:rFonts w:ascii="Tw Cen MT" w:hAnsi="Tw Cen MT" w:cs="Arial"/>
          <w:sz w:val="20"/>
          <w:szCs w:val="20"/>
          <w:lang w:val="en-GB"/>
        </w:rPr>
        <w:t>data on incidence, prevalence, or types of occurring GBV</w:t>
      </w:r>
      <w:r w:rsidRPr="00C23923">
        <w:rPr>
          <w:rFonts w:ascii="Tw Cen MT" w:hAnsi="Tw Cen MT" w:cs="Arial"/>
          <w:sz w:val="20"/>
          <w:szCs w:val="20"/>
          <w:lang w:val="en-GB"/>
        </w:rPr>
        <w:t xml:space="preserve"> (e.g., on number of reported cases) is </w:t>
      </w:r>
      <w:r w:rsidRPr="00C23923">
        <w:rPr>
          <w:rFonts w:ascii="Tw Cen MT" w:hAnsi="Tw Cen MT" w:cs="Arial"/>
          <w:b/>
          <w:sz w:val="20"/>
          <w:szCs w:val="20"/>
          <w:lang w:val="en-GB"/>
        </w:rPr>
        <w:t>not needed before taking</w:t>
      </w:r>
      <w:r w:rsidRPr="00C23923">
        <w:rPr>
          <w:rFonts w:ascii="Tw Cen MT" w:hAnsi="Tw Cen MT" w:cs="Arial"/>
          <w:sz w:val="20"/>
          <w:szCs w:val="20"/>
          <w:lang w:val="en-GB"/>
        </w:rPr>
        <w:t xml:space="preserve"> </w:t>
      </w:r>
      <w:r w:rsidRPr="00C23923">
        <w:rPr>
          <w:rFonts w:ascii="Tw Cen MT" w:hAnsi="Tw Cen MT" w:cs="Arial"/>
          <w:b/>
          <w:sz w:val="20"/>
          <w:szCs w:val="20"/>
          <w:lang w:val="en-GB"/>
        </w:rPr>
        <w:t>action,</w:t>
      </w:r>
      <w:r w:rsidRPr="00C23923">
        <w:rPr>
          <w:rFonts w:ascii="Tw Cen MT" w:hAnsi="Tw Cen MT" w:cs="Arial"/>
          <w:sz w:val="20"/>
          <w:szCs w:val="20"/>
          <w:lang w:val="en-GB"/>
        </w:rPr>
        <w:t xml:space="preserve"> and that humanitarian workers should </w:t>
      </w:r>
      <w:r w:rsidRPr="00C23923">
        <w:rPr>
          <w:rFonts w:ascii="Tw Cen MT" w:hAnsi="Tw Cen MT" w:cstheme="majorHAnsi"/>
          <w:sz w:val="20"/>
          <w:szCs w:val="20"/>
          <w:lang w:val="en-GB"/>
        </w:rPr>
        <w:t xml:space="preserve">“Assume GBV is taking place […] </w:t>
      </w:r>
      <w:r w:rsidRPr="00C23923">
        <w:rPr>
          <w:rFonts w:ascii="Tw Cen MT" w:hAnsi="Tw Cen MT"/>
          <w:sz w:val="20"/>
          <w:szCs w:val="20"/>
          <w:lang w:val="en-GB"/>
        </w:rPr>
        <w:t>regardless of whether the prevalence or incidence of various forms of GBV is ‘known’ and verified”</w:t>
      </w:r>
      <w:r w:rsidRPr="00C23923">
        <w:rPr>
          <w:rStyle w:val="FootnoteReference"/>
          <w:rFonts w:ascii="Tw Cen MT" w:hAnsi="Tw Cen MT" w:cstheme="majorHAnsi"/>
          <w:sz w:val="20"/>
          <w:szCs w:val="20"/>
          <w:lang w:val="en-GB"/>
        </w:rPr>
        <w:footnoteReference w:id="4"/>
      </w:r>
      <w:r w:rsidRPr="00C23923">
        <w:rPr>
          <w:rFonts w:ascii="Tw Cen MT" w:hAnsi="Tw Cen MT"/>
          <w:sz w:val="20"/>
          <w:szCs w:val="20"/>
          <w:lang w:val="en-GB"/>
        </w:rPr>
        <w:t>.</w:t>
      </w:r>
    </w:p>
    <w:p w14:paraId="7C9B0EC7" w14:textId="77777777" w:rsidR="006C081F" w:rsidRPr="00C23923" w:rsidRDefault="006C081F" w:rsidP="006C081F">
      <w:pPr>
        <w:pStyle w:val="NoSpacing"/>
        <w:jc w:val="both"/>
        <w:rPr>
          <w:rFonts w:ascii="Tw Cen MT" w:hAnsi="Tw Cen MT" w:cstheme="majorHAnsi"/>
          <w:sz w:val="20"/>
          <w:szCs w:val="20"/>
          <w:lang w:val="en-GB"/>
        </w:rPr>
      </w:pPr>
    </w:p>
    <w:p w14:paraId="6392DCCE" w14:textId="4F1496BE" w:rsidR="006C081F" w:rsidRDefault="006C081F" w:rsidP="006C081F">
      <w:pPr>
        <w:pStyle w:val="NoSpacing"/>
        <w:jc w:val="both"/>
        <w:rPr>
          <w:rFonts w:ascii="Tw Cen MT" w:hAnsi="Tw Cen MT" w:cstheme="majorHAnsi"/>
          <w:sz w:val="20"/>
          <w:szCs w:val="20"/>
          <w:lang w:val="en-GB"/>
        </w:rPr>
      </w:pPr>
      <w:r w:rsidRPr="00C23923">
        <w:rPr>
          <w:rFonts w:ascii="Tw Cen MT" w:hAnsi="Tw Cen MT" w:cstheme="majorHAnsi"/>
          <w:sz w:val="20"/>
          <w:szCs w:val="20"/>
          <w:lang w:val="en-GB"/>
        </w:rPr>
        <w:t xml:space="preserve">As is common practice within the GBV AoR, the questions in the DTM </w:t>
      </w:r>
      <w:r w:rsidRPr="00D10F24">
        <w:rPr>
          <w:rFonts w:ascii="Tw Cen MT" w:hAnsi="Tw Cen MT" w:cstheme="majorHAnsi"/>
          <w:b/>
          <w:bCs/>
          <w:i/>
          <w:sz w:val="20"/>
          <w:szCs w:val="20"/>
          <w:lang w:val="en-GB"/>
        </w:rPr>
        <w:t>do not ask for GBV related incidents</w:t>
      </w:r>
      <w:r w:rsidRPr="00C23923">
        <w:rPr>
          <w:rFonts w:ascii="Tw Cen MT" w:hAnsi="Tw Cen MT" w:cstheme="majorHAnsi"/>
          <w:i/>
          <w:sz w:val="20"/>
          <w:szCs w:val="20"/>
          <w:lang w:val="en-GB"/>
        </w:rPr>
        <w:t xml:space="preserve">: </w:t>
      </w:r>
      <w:r w:rsidRPr="00C23923">
        <w:rPr>
          <w:rFonts w:ascii="Tw Cen MT" w:hAnsi="Tw Cen MT" w:cstheme="majorHAnsi"/>
          <w:sz w:val="20"/>
          <w:szCs w:val="20"/>
          <w:lang w:val="en-GB"/>
        </w:rPr>
        <w:t xml:space="preserve">such questions will not be found in the Field Companion and </w:t>
      </w:r>
      <w:r w:rsidRPr="00C23923">
        <w:rPr>
          <w:rFonts w:ascii="Tw Cen MT" w:hAnsi="Tw Cen MT" w:cstheme="majorHAnsi"/>
          <w:b/>
          <w:i/>
          <w:sz w:val="20"/>
          <w:szCs w:val="20"/>
          <w:u w:val="single"/>
          <w:lang w:val="en-GB"/>
        </w:rPr>
        <w:t xml:space="preserve">should </w:t>
      </w:r>
      <w:r w:rsidR="00D10F24">
        <w:rPr>
          <w:rFonts w:ascii="Tw Cen MT" w:hAnsi="Tw Cen MT" w:cstheme="majorHAnsi"/>
          <w:b/>
          <w:i/>
          <w:sz w:val="20"/>
          <w:szCs w:val="20"/>
          <w:u w:val="single"/>
          <w:lang w:val="en-GB"/>
        </w:rPr>
        <w:t>NEVER be</w:t>
      </w:r>
      <w:r w:rsidRPr="00C23923">
        <w:rPr>
          <w:rFonts w:ascii="Tw Cen MT" w:hAnsi="Tw Cen MT" w:cstheme="majorHAnsi"/>
          <w:b/>
          <w:i/>
          <w:sz w:val="20"/>
          <w:szCs w:val="20"/>
          <w:u w:val="single"/>
          <w:lang w:val="en-GB"/>
        </w:rPr>
        <w:t xml:space="preserve"> included in the DTM questionnaires </w:t>
      </w:r>
      <w:r w:rsidR="00986EA4" w:rsidRPr="00C23923">
        <w:rPr>
          <w:rFonts w:ascii="Tw Cen MT" w:hAnsi="Tw Cen MT" w:cstheme="majorHAnsi"/>
          <w:b/>
          <w:i/>
          <w:sz w:val="20"/>
          <w:szCs w:val="20"/>
          <w:u w:val="single"/>
          <w:lang w:val="en-GB"/>
        </w:rPr>
        <w:t>i</w:t>
      </w:r>
      <w:r w:rsidRPr="00C23923">
        <w:rPr>
          <w:rFonts w:ascii="Tw Cen MT" w:hAnsi="Tw Cen MT" w:cstheme="majorHAnsi"/>
          <w:b/>
          <w:i/>
          <w:sz w:val="20"/>
          <w:szCs w:val="20"/>
          <w:u w:val="single"/>
          <w:lang w:val="en-GB"/>
        </w:rPr>
        <w:t>n the field.</w:t>
      </w:r>
      <w:r w:rsidRPr="00C23923">
        <w:rPr>
          <w:rFonts w:ascii="Tw Cen MT" w:hAnsi="Tw Cen MT" w:cstheme="majorHAnsi"/>
          <w:sz w:val="20"/>
          <w:szCs w:val="20"/>
          <w:lang w:val="en-GB"/>
        </w:rPr>
        <w:t xml:space="preserve"> </w:t>
      </w:r>
      <w:r w:rsidR="00D10F24">
        <w:rPr>
          <w:rFonts w:ascii="Tw Cen MT" w:hAnsi="Tw Cen MT" w:cstheme="majorHAnsi"/>
          <w:sz w:val="20"/>
          <w:szCs w:val="20"/>
          <w:lang w:val="en-GB"/>
        </w:rPr>
        <w:t xml:space="preserve">Results are unreliable, misleading and not usable nor useful to GBV response. In addition, asking these questions can be </w:t>
      </w:r>
      <w:r w:rsidRPr="00C23923">
        <w:rPr>
          <w:rFonts w:ascii="Tw Cen MT" w:hAnsi="Tw Cen MT" w:cstheme="majorHAnsi"/>
          <w:sz w:val="20"/>
          <w:szCs w:val="20"/>
          <w:lang w:val="en-GB"/>
        </w:rPr>
        <w:t>unsafe and put enumerators</w:t>
      </w:r>
      <w:r w:rsidR="00D10F24">
        <w:rPr>
          <w:rFonts w:ascii="Tw Cen MT" w:hAnsi="Tw Cen MT" w:cstheme="majorHAnsi"/>
          <w:sz w:val="20"/>
          <w:szCs w:val="20"/>
          <w:lang w:val="en-GB"/>
        </w:rPr>
        <w:t xml:space="preserve">, respondents, </w:t>
      </w:r>
      <w:r w:rsidR="00E43655" w:rsidRPr="00C23923">
        <w:rPr>
          <w:rFonts w:ascii="Tw Cen MT" w:hAnsi="Tw Cen MT" w:cstheme="majorHAnsi"/>
          <w:sz w:val="20"/>
          <w:szCs w:val="20"/>
          <w:lang w:val="en-GB"/>
        </w:rPr>
        <w:t>the affected population</w:t>
      </w:r>
      <w:r w:rsidRPr="00C23923">
        <w:rPr>
          <w:rFonts w:ascii="Tw Cen MT" w:hAnsi="Tw Cen MT" w:cstheme="majorHAnsi"/>
          <w:sz w:val="20"/>
          <w:szCs w:val="20"/>
          <w:lang w:val="en-GB"/>
        </w:rPr>
        <w:t xml:space="preserve"> </w:t>
      </w:r>
      <w:r w:rsidR="00D10F24">
        <w:rPr>
          <w:rFonts w:ascii="Tw Cen MT" w:hAnsi="Tw Cen MT" w:cstheme="majorHAnsi"/>
          <w:sz w:val="20"/>
          <w:szCs w:val="20"/>
          <w:lang w:val="en-GB"/>
        </w:rPr>
        <w:t xml:space="preserve">and the organization </w:t>
      </w:r>
      <w:r w:rsidRPr="00C23923">
        <w:rPr>
          <w:rFonts w:ascii="Tw Cen MT" w:hAnsi="Tw Cen MT" w:cstheme="majorHAnsi"/>
          <w:sz w:val="20"/>
          <w:szCs w:val="20"/>
          <w:lang w:val="en-GB"/>
        </w:rPr>
        <w:t>at risk</w:t>
      </w:r>
      <w:r w:rsidR="00D10F24">
        <w:rPr>
          <w:rFonts w:ascii="Tw Cen MT" w:hAnsi="Tw Cen MT" w:cstheme="majorHAnsi"/>
          <w:sz w:val="20"/>
          <w:szCs w:val="20"/>
          <w:lang w:val="en-GB"/>
        </w:rPr>
        <w:t xml:space="preserve">. </w:t>
      </w:r>
      <w:r w:rsidRPr="00C23923">
        <w:rPr>
          <w:rFonts w:ascii="Tw Cen MT" w:hAnsi="Tw Cen MT" w:cstheme="majorHAnsi"/>
          <w:sz w:val="20"/>
          <w:szCs w:val="20"/>
          <w:lang w:val="en-GB"/>
        </w:rPr>
        <w:t xml:space="preserve">DTM enumerators are not GBV </w:t>
      </w:r>
      <w:r w:rsidR="00D10F24" w:rsidRPr="00C23923">
        <w:rPr>
          <w:rFonts w:ascii="Tw Cen MT" w:hAnsi="Tw Cen MT" w:cstheme="majorHAnsi"/>
          <w:sz w:val="20"/>
          <w:szCs w:val="20"/>
          <w:lang w:val="en-GB"/>
        </w:rPr>
        <w:t>experts and</w:t>
      </w:r>
      <w:r w:rsidRPr="00C23923">
        <w:rPr>
          <w:rFonts w:ascii="Tw Cen MT" w:hAnsi="Tw Cen MT" w:cstheme="majorHAnsi"/>
          <w:sz w:val="20"/>
          <w:szCs w:val="20"/>
          <w:lang w:val="en-GB"/>
        </w:rPr>
        <w:t xml:space="preserve"> cannot provide follow up should incidents of GBV be disclosed (except referrals, where such option exists). </w:t>
      </w:r>
    </w:p>
    <w:p w14:paraId="63E7DD13" w14:textId="51190AE0" w:rsidR="00F3527C" w:rsidRDefault="00F3527C" w:rsidP="006C081F">
      <w:pPr>
        <w:pStyle w:val="NoSpacing"/>
        <w:jc w:val="both"/>
        <w:rPr>
          <w:rFonts w:ascii="Tw Cen MT" w:hAnsi="Tw Cen MT" w:cstheme="majorHAnsi"/>
          <w:sz w:val="20"/>
          <w:szCs w:val="20"/>
          <w:lang w:val="en-GB"/>
        </w:rPr>
      </w:pPr>
    </w:p>
    <w:p w14:paraId="51C22920" w14:textId="5FCD7A38" w:rsidR="008B6FF1" w:rsidRPr="00F472D3" w:rsidRDefault="008B6FF1" w:rsidP="00F472D3">
      <w:pPr>
        <w:pStyle w:val="Heading1"/>
        <w:numPr>
          <w:ilvl w:val="0"/>
          <w:numId w:val="25"/>
        </w:numPr>
        <w:spacing w:before="0" w:line="240" w:lineRule="auto"/>
        <w:ind w:left="714" w:hanging="357"/>
        <w:rPr>
          <w:rFonts w:ascii="Tw Cen MT" w:hAnsi="Tw Cen MT"/>
          <w:i/>
          <w:iCs/>
          <w:color w:val="auto"/>
          <w:sz w:val="28"/>
          <w:szCs w:val="28"/>
          <w:u w:val="single"/>
          <w:lang w:val="en-GB"/>
        </w:rPr>
      </w:pPr>
      <w:bookmarkStart w:id="11" w:name="_Toc113354907"/>
      <w:r w:rsidRPr="00F472D3">
        <w:rPr>
          <w:rFonts w:ascii="Tw Cen MT" w:hAnsi="Tw Cen MT"/>
          <w:i/>
          <w:iCs/>
          <w:color w:val="auto"/>
          <w:sz w:val="28"/>
          <w:szCs w:val="28"/>
          <w:u w:val="single"/>
          <w:lang w:val="en-GB"/>
        </w:rPr>
        <w:t>Summary</w:t>
      </w:r>
      <w:bookmarkEnd w:id="11"/>
    </w:p>
    <w:p w14:paraId="52F83A70" w14:textId="77777777" w:rsidR="00521F46" w:rsidRDefault="002071F5" w:rsidP="008B6FF1">
      <w:pPr>
        <w:pStyle w:val="NoSpacing"/>
        <w:jc w:val="both"/>
        <w:rPr>
          <w:rFonts w:ascii="Tw Cen MT" w:hAnsi="Tw Cen MT" w:cstheme="majorHAnsi"/>
          <w:sz w:val="20"/>
          <w:szCs w:val="20"/>
          <w:lang w:val="en-GB"/>
        </w:rPr>
      </w:pPr>
      <w:r w:rsidRPr="00C23923">
        <w:rPr>
          <w:rFonts w:ascii="Tw Cen MT" w:hAnsi="Tw Cen MT" w:cstheme="majorHAnsi"/>
          <w:sz w:val="20"/>
          <w:szCs w:val="20"/>
          <w:lang w:val="en-GB"/>
        </w:rPr>
        <w:t>The M</w:t>
      </w:r>
      <w:r w:rsidR="008B6FF1" w:rsidRPr="00C23923">
        <w:rPr>
          <w:rFonts w:ascii="Tw Cen MT" w:hAnsi="Tw Cen MT" w:cstheme="majorHAnsi"/>
          <w:sz w:val="20"/>
          <w:szCs w:val="20"/>
          <w:lang w:val="en-GB"/>
        </w:rPr>
        <w:t>ulti</w:t>
      </w:r>
      <w:r w:rsidRPr="00C23923">
        <w:rPr>
          <w:rFonts w:ascii="Tw Cen MT" w:hAnsi="Tw Cen MT" w:cstheme="majorHAnsi"/>
          <w:sz w:val="20"/>
          <w:szCs w:val="20"/>
          <w:lang w:val="en-GB"/>
        </w:rPr>
        <w:t xml:space="preserve"> S</w:t>
      </w:r>
      <w:r w:rsidR="008B6FF1" w:rsidRPr="00C23923">
        <w:rPr>
          <w:rFonts w:ascii="Tw Cen MT" w:hAnsi="Tw Cen MT" w:cstheme="majorHAnsi"/>
          <w:sz w:val="20"/>
          <w:szCs w:val="20"/>
          <w:lang w:val="en-GB"/>
        </w:rPr>
        <w:t>ector</w:t>
      </w:r>
      <w:r w:rsidRPr="00C23923">
        <w:rPr>
          <w:rFonts w:ascii="Tw Cen MT" w:hAnsi="Tw Cen MT" w:cstheme="majorHAnsi"/>
          <w:sz w:val="20"/>
          <w:szCs w:val="20"/>
          <w:lang w:val="en-GB"/>
        </w:rPr>
        <w:t>al Location A</w:t>
      </w:r>
      <w:r w:rsidR="008B6FF1" w:rsidRPr="00C23923">
        <w:rPr>
          <w:rFonts w:ascii="Tw Cen MT" w:hAnsi="Tw Cen MT" w:cstheme="majorHAnsi"/>
          <w:sz w:val="20"/>
          <w:szCs w:val="20"/>
          <w:lang w:val="en-GB"/>
        </w:rPr>
        <w:t>ssessment (MSLA) consists of non-specialized key informant interviews and is done</w:t>
      </w:r>
      <w:r w:rsidR="00D10F24">
        <w:rPr>
          <w:rFonts w:ascii="Tw Cen MT" w:hAnsi="Tw Cen MT" w:cstheme="majorHAnsi"/>
          <w:sz w:val="20"/>
          <w:szCs w:val="20"/>
          <w:lang w:val="en-GB"/>
        </w:rPr>
        <w:t xml:space="preserve"> using closed questionnaires adapted to the context. It is implemented </w:t>
      </w:r>
      <w:r w:rsidR="00AB793E">
        <w:rPr>
          <w:rFonts w:ascii="Tw Cen MT" w:hAnsi="Tw Cen MT" w:cstheme="majorHAnsi"/>
          <w:sz w:val="20"/>
          <w:szCs w:val="20"/>
          <w:lang w:val="en-GB"/>
        </w:rPr>
        <w:t>on a regular basis</w:t>
      </w:r>
      <w:r w:rsidR="008B3FEC">
        <w:rPr>
          <w:rFonts w:ascii="Tw Cen MT" w:hAnsi="Tw Cen MT" w:cstheme="majorHAnsi"/>
          <w:sz w:val="20"/>
          <w:szCs w:val="20"/>
          <w:lang w:val="en-GB"/>
        </w:rPr>
        <w:t xml:space="preserve"> and provides timely information on close</w:t>
      </w:r>
      <w:r w:rsidR="00AB793E">
        <w:rPr>
          <w:rFonts w:ascii="Tw Cen MT" w:hAnsi="Tw Cen MT" w:cstheme="majorHAnsi"/>
          <w:sz w:val="20"/>
          <w:szCs w:val="20"/>
          <w:lang w:val="en-GB"/>
        </w:rPr>
        <w:t>-</w:t>
      </w:r>
      <w:r w:rsidR="008B3FEC">
        <w:rPr>
          <w:rFonts w:ascii="Tw Cen MT" w:hAnsi="Tw Cen MT" w:cstheme="majorHAnsi"/>
          <w:sz w:val="20"/>
          <w:szCs w:val="20"/>
          <w:lang w:val="en-GB"/>
        </w:rPr>
        <w:t>to</w:t>
      </w:r>
      <w:r w:rsidR="00AB793E">
        <w:rPr>
          <w:rFonts w:ascii="Tw Cen MT" w:hAnsi="Tw Cen MT" w:cstheme="majorHAnsi"/>
          <w:sz w:val="20"/>
          <w:szCs w:val="20"/>
          <w:lang w:val="en-GB"/>
        </w:rPr>
        <w:t>-</w:t>
      </w:r>
      <w:r w:rsidR="008B3FEC">
        <w:rPr>
          <w:rFonts w:ascii="Tw Cen MT" w:hAnsi="Tw Cen MT" w:cstheme="majorHAnsi"/>
          <w:sz w:val="20"/>
          <w:szCs w:val="20"/>
          <w:lang w:val="en-GB"/>
        </w:rPr>
        <w:t>all impacted locations</w:t>
      </w:r>
      <w:r w:rsidR="008B6FF1" w:rsidRPr="00C23923">
        <w:rPr>
          <w:rFonts w:ascii="Tw Cen MT" w:hAnsi="Tw Cen MT" w:cstheme="majorHAnsi"/>
          <w:sz w:val="20"/>
          <w:szCs w:val="20"/>
          <w:lang w:val="en-GB"/>
        </w:rPr>
        <w:t xml:space="preserve">. The results can be used as </w:t>
      </w:r>
      <w:r w:rsidR="008B6FF1" w:rsidRPr="00C23923">
        <w:rPr>
          <w:rFonts w:ascii="Tw Cen MT" w:hAnsi="Tw Cen MT" w:cstheme="majorHAnsi"/>
          <w:b/>
          <w:sz w:val="20"/>
          <w:szCs w:val="20"/>
          <w:lang w:val="en-GB"/>
        </w:rPr>
        <w:t>indication on possible gaps in GBV services, and areas at higher GBV risks.</w:t>
      </w:r>
      <w:r w:rsidR="008B6FF1" w:rsidRPr="00C23923">
        <w:rPr>
          <w:rFonts w:ascii="Tw Cen MT" w:hAnsi="Tw Cen MT" w:cstheme="majorHAnsi"/>
          <w:sz w:val="20"/>
          <w:szCs w:val="20"/>
          <w:lang w:val="en-GB"/>
        </w:rPr>
        <w:t xml:space="preserve"> </w:t>
      </w:r>
    </w:p>
    <w:p w14:paraId="5B0DB999" w14:textId="6D0EFB50" w:rsidR="00793090" w:rsidRDefault="008B6FF1" w:rsidP="008B6FF1">
      <w:pPr>
        <w:pStyle w:val="NoSpacing"/>
        <w:jc w:val="both"/>
        <w:rPr>
          <w:rFonts w:ascii="Tw Cen MT" w:hAnsi="Tw Cen MT" w:cstheme="majorHAnsi"/>
          <w:sz w:val="20"/>
          <w:szCs w:val="20"/>
          <w:lang w:val="en-GB"/>
        </w:rPr>
      </w:pPr>
      <w:r w:rsidRPr="00C23923">
        <w:rPr>
          <w:rFonts w:ascii="Tw Cen MT" w:hAnsi="Tw Cen MT" w:cstheme="majorHAnsi"/>
          <w:sz w:val="20"/>
          <w:szCs w:val="20"/>
          <w:lang w:val="en-GB"/>
        </w:rPr>
        <w:t>Both DTM personnel as well as GBV sub-cluster Coordinators and IMOs play a role in creating the questionnaire</w:t>
      </w:r>
      <w:r w:rsidR="00521F46">
        <w:rPr>
          <w:rFonts w:ascii="Tw Cen MT" w:hAnsi="Tw Cen MT" w:cstheme="majorHAnsi"/>
          <w:sz w:val="20"/>
          <w:szCs w:val="20"/>
          <w:lang w:val="en-GB"/>
        </w:rPr>
        <w:t>, with the support of context experts, that ensure the questions and answers make sense in the specific context</w:t>
      </w:r>
      <w:r w:rsidRPr="00C23923">
        <w:rPr>
          <w:rFonts w:ascii="Tw Cen MT" w:hAnsi="Tw Cen MT" w:cstheme="majorHAnsi"/>
          <w:sz w:val="20"/>
          <w:szCs w:val="20"/>
          <w:lang w:val="en-GB"/>
        </w:rPr>
        <w:t>.</w:t>
      </w:r>
      <w:r w:rsidR="00521F46">
        <w:rPr>
          <w:rFonts w:ascii="Tw Cen MT" w:hAnsi="Tw Cen MT" w:cstheme="majorHAnsi"/>
          <w:sz w:val="20"/>
          <w:szCs w:val="20"/>
          <w:lang w:val="en-GB"/>
        </w:rPr>
        <w:t xml:space="preserve"> GBV colleagues in the field will first identify the information they need to make specific response decisions, and then consult the </w:t>
      </w:r>
      <w:r w:rsidR="00521F46" w:rsidRPr="00521F46">
        <w:rPr>
          <w:rFonts w:ascii="Tw Cen MT" w:hAnsi="Tw Cen MT" w:cstheme="majorHAnsi"/>
          <w:b/>
          <w:bCs/>
          <w:sz w:val="20"/>
          <w:szCs w:val="20"/>
          <w:lang w:val="en-GB"/>
        </w:rPr>
        <w:t>DTM</w:t>
      </w:r>
      <w:r w:rsidRPr="00521F46">
        <w:rPr>
          <w:rFonts w:ascii="Tw Cen MT" w:hAnsi="Tw Cen MT" w:cstheme="majorHAnsi"/>
          <w:b/>
          <w:bCs/>
          <w:sz w:val="20"/>
          <w:szCs w:val="20"/>
          <w:lang w:val="en-GB"/>
        </w:rPr>
        <w:t xml:space="preserve"> Field Companion</w:t>
      </w:r>
      <w:r w:rsidR="00521F46" w:rsidRPr="00521F46">
        <w:rPr>
          <w:rFonts w:ascii="Tw Cen MT" w:hAnsi="Tw Cen MT" w:cstheme="majorHAnsi"/>
          <w:b/>
          <w:bCs/>
          <w:sz w:val="20"/>
          <w:szCs w:val="20"/>
          <w:lang w:val="en-GB"/>
        </w:rPr>
        <w:t xml:space="preserve"> for GBV</w:t>
      </w:r>
      <w:r w:rsidR="00521F46">
        <w:rPr>
          <w:rFonts w:ascii="Tw Cen MT" w:hAnsi="Tw Cen MT" w:cstheme="majorHAnsi"/>
          <w:sz w:val="20"/>
          <w:szCs w:val="20"/>
          <w:lang w:val="en-GB"/>
        </w:rPr>
        <w:t xml:space="preserve"> to select and adjust the questions. They will consider the likely limitations and strengths of the non-specialist </w:t>
      </w:r>
      <w:r w:rsidR="00793090">
        <w:rPr>
          <w:rFonts w:ascii="Tw Cen MT" w:hAnsi="Tw Cen MT" w:cstheme="majorHAnsi"/>
          <w:sz w:val="20"/>
          <w:szCs w:val="20"/>
          <w:lang w:val="en-GB"/>
        </w:rPr>
        <w:t xml:space="preserve">Key </w:t>
      </w:r>
      <w:r w:rsidR="00886CCB">
        <w:rPr>
          <w:rFonts w:ascii="Tw Cen MT" w:hAnsi="Tw Cen MT" w:cstheme="majorHAnsi"/>
          <w:sz w:val="20"/>
          <w:szCs w:val="20"/>
          <w:lang w:val="en-GB"/>
        </w:rPr>
        <w:t>Informants and</w:t>
      </w:r>
      <w:r w:rsidR="00793090">
        <w:rPr>
          <w:rFonts w:ascii="Tw Cen MT" w:hAnsi="Tw Cen MT" w:cstheme="majorHAnsi"/>
          <w:sz w:val="20"/>
          <w:szCs w:val="20"/>
          <w:lang w:val="en-GB"/>
        </w:rPr>
        <w:t xml:space="preserve"> develop questions appropriate to the context and able to provide reliable and useful information. </w:t>
      </w:r>
    </w:p>
    <w:p w14:paraId="20B08632" w14:textId="0D5A44CA" w:rsidR="008B6FF1" w:rsidRPr="00C23923" w:rsidRDefault="00521F46" w:rsidP="008B6FF1">
      <w:pPr>
        <w:pStyle w:val="NoSpacing"/>
        <w:jc w:val="both"/>
        <w:rPr>
          <w:rFonts w:ascii="Tw Cen MT" w:hAnsi="Tw Cen MT" w:cstheme="majorHAnsi"/>
          <w:sz w:val="20"/>
          <w:szCs w:val="20"/>
          <w:lang w:val="en-GB"/>
        </w:rPr>
      </w:pPr>
      <w:r>
        <w:rPr>
          <w:rFonts w:ascii="Tw Cen MT" w:hAnsi="Tw Cen MT" w:cstheme="majorHAnsi"/>
          <w:sz w:val="20"/>
          <w:szCs w:val="20"/>
          <w:lang w:val="en-GB"/>
        </w:rPr>
        <w:t>F</w:t>
      </w:r>
      <w:r w:rsidR="008B6FF1" w:rsidRPr="00C23923">
        <w:rPr>
          <w:rFonts w:ascii="Tw Cen MT" w:hAnsi="Tw Cen MT" w:cstheme="majorHAnsi"/>
          <w:sz w:val="20"/>
          <w:szCs w:val="20"/>
          <w:lang w:val="en-GB"/>
        </w:rPr>
        <w:t xml:space="preserve">our categories of questions have been included </w:t>
      </w:r>
      <w:r>
        <w:rPr>
          <w:rFonts w:ascii="Tw Cen MT" w:hAnsi="Tw Cen MT" w:cstheme="majorHAnsi"/>
          <w:sz w:val="20"/>
          <w:szCs w:val="20"/>
          <w:lang w:val="en-GB"/>
        </w:rPr>
        <w:t xml:space="preserve">in the field companion, in line with the GBV Analytical Framework: </w:t>
      </w:r>
      <w:r w:rsidR="008B6FF1" w:rsidRPr="00C23923">
        <w:rPr>
          <w:rFonts w:ascii="Tw Cen MT" w:hAnsi="Tw Cen MT" w:cstheme="majorHAnsi"/>
          <w:b/>
          <w:sz w:val="20"/>
          <w:szCs w:val="20"/>
          <w:lang w:val="en-GB"/>
        </w:rPr>
        <w:t>1. Safety perceptions 2.</w:t>
      </w:r>
      <w:r w:rsidR="002071F5" w:rsidRPr="00C23923">
        <w:rPr>
          <w:rFonts w:ascii="Tw Cen MT" w:hAnsi="Tw Cen MT" w:cstheme="majorHAnsi"/>
          <w:b/>
          <w:sz w:val="20"/>
          <w:szCs w:val="20"/>
          <w:lang w:val="en-GB"/>
        </w:rPr>
        <w:t xml:space="preserve"> Availability of GBV services, </w:t>
      </w:r>
      <w:r w:rsidR="008B6FF1" w:rsidRPr="00C23923">
        <w:rPr>
          <w:rFonts w:ascii="Tw Cen MT" w:hAnsi="Tw Cen MT" w:cstheme="majorHAnsi"/>
          <w:b/>
          <w:sz w:val="20"/>
          <w:szCs w:val="20"/>
          <w:lang w:val="en-GB"/>
        </w:rPr>
        <w:t>3. System &amp; services (by sector): availability, physical accessibility 4. Vulnerable conditions</w:t>
      </w:r>
      <w:r w:rsidR="008B6FF1" w:rsidRPr="00C23923">
        <w:rPr>
          <w:rFonts w:ascii="Tw Cen MT" w:hAnsi="Tw Cen MT" w:cstheme="majorHAnsi"/>
          <w:sz w:val="20"/>
          <w:szCs w:val="20"/>
          <w:lang w:val="en-GB"/>
        </w:rPr>
        <w:t>.</w:t>
      </w:r>
    </w:p>
    <w:p w14:paraId="2F18F046" w14:textId="3895FB1C" w:rsidR="008B6FF1" w:rsidRDefault="00521F46" w:rsidP="008B6FF1">
      <w:pPr>
        <w:pStyle w:val="NoSpacing"/>
        <w:jc w:val="both"/>
        <w:rPr>
          <w:rFonts w:ascii="Tw Cen MT" w:hAnsi="Tw Cen MT" w:cstheme="majorHAnsi"/>
          <w:sz w:val="20"/>
          <w:szCs w:val="20"/>
          <w:lang w:val="en-GB"/>
        </w:rPr>
      </w:pPr>
      <w:r>
        <w:rPr>
          <w:rFonts w:ascii="Tw Cen MT" w:hAnsi="Tw Cen MT" w:cstheme="majorHAnsi"/>
          <w:sz w:val="20"/>
          <w:szCs w:val="20"/>
          <w:lang w:val="en-GB"/>
        </w:rPr>
        <w:t>GBV colleagues</w:t>
      </w:r>
      <w:r w:rsidRPr="00C23923">
        <w:rPr>
          <w:rFonts w:ascii="Tw Cen MT" w:hAnsi="Tw Cen MT" w:cstheme="majorHAnsi"/>
          <w:sz w:val="20"/>
          <w:szCs w:val="20"/>
          <w:lang w:val="en-GB"/>
        </w:rPr>
        <w:t xml:space="preserve"> </w:t>
      </w:r>
      <w:r>
        <w:rPr>
          <w:rFonts w:ascii="Tw Cen MT" w:hAnsi="Tw Cen MT" w:cstheme="majorHAnsi"/>
          <w:sz w:val="20"/>
          <w:szCs w:val="20"/>
          <w:lang w:val="en-GB"/>
        </w:rPr>
        <w:t xml:space="preserve">must analyse </w:t>
      </w:r>
      <w:r w:rsidR="008B6FF1" w:rsidRPr="00C23923">
        <w:rPr>
          <w:rFonts w:ascii="Tw Cen MT" w:hAnsi="Tw Cen MT" w:cstheme="majorHAnsi"/>
          <w:sz w:val="20"/>
          <w:szCs w:val="20"/>
          <w:lang w:val="en-GB"/>
        </w:rPr>
        <w:t>data from DTM regularl</w:t>
      </w:r>
      <w:r>
        <w:rPr>
          <w:rFonts w:ascii="Tw Cen MT" w:hAnsi="Tw Cen MT" w:cstheme="majorHAnsi"/>
          <w:sz w:val="20"/>
          <w:szCs w:val="20"/>
          <w:lang w:val="en-GB"/>
        </w:rPr>
        <w:t>y,</w:t>
      </w:r>
      <w:r w:rsidR="008B6FF1" w:rsidRPr="00C23923">
        <w:rPr>
          <w:rFonts w:ascii="Tw Cen MT" w:hAnsi="Tw Cen MT" w:cstheme="majorHAnsi"/>
          <w:sz w:val="20"/>
          <w:szCs w:val="20"/>
          <w:lang w:val="en-GB"/>
        </w:rPr>
        <w:t xml:space="preserve"> to inform potential gaps in services, risks to GBV and </w:t>
      </w:r>
      <w:r>
        <w:rPr>
          <w:rFonts w:ascii="Tw Cen MT" w:hAnsi="Tw Cen MT" w:cstheme="majorHAnsi"/>
          <w:sz w:val="20"/>
          <w:szCs w:val="20"/>
          <w:lang w:val="en-GB"/>
        </w:rPr>
        <w:t xml:space="preserve">priority areas for response and </w:t>
      </w:r>
      <w:r w:rsidR="008B6FF1" w:rsidRPr="00C23923">
        <w:rPr>
          <w:rFonts w:ascii="Tw Cen MT" w:hAnsi="Tw Cen MT" w:cstheme="majorHAnsi"/>
          <w:sz w:val="20"/>
          <w:szCs w:val="20"/>
          <w:lang w:val="en-GB"/>
        </w:rPr>
        <w:t>where actors can do follow up</w:t>
      </w:r>
      <w:r>
        <w:rPr>
          <w:rFonts w:ascii="Tw Cen MT" w:hAnsi="Tw Cen MT" w:cstheme="majorHAnsi"/>
          <w:sz w:val="20"/>
          <w:szCs w:val="20"/>
          <w:lang w:val="en-GB"/>
        </w:rPr>
        <w:t xml:space="preserve"> assessments.</w:t>
      </w:r>
    </w:p>
    <w:p w14:paraId="6CCF3F21" w14:textId="77777777" w:rsidR="00793090" w:rsidRPr="00C23923" w:rsidRDefault="00793090" w:rsidP="008B6FF1">
      <w:pPr>
        <w:pStyle w:val="NoSpacing"/>
        <w:jc w:val="both"/>
        <w:rPr>
          <w:rFonts w:ascii="Tw Cen MT" w:hAnsi="Tw Cen MT" w:cstheme="majorHAnsi"/>
          <w:sz w:val="20"/>
          <w:szCs w:val="20"/>
          <w:lang w:val="en-GB"/>
        </w:rPr>
      </w:pPr>
    </w:p>
    <w:p w14:paraId="3F059B63" w14:textId="1095BEE0" w:rsidR="00D91B8D" w:rsidRPr="00224BAE" w:rsidRDefault="008B6FF1" w:rsidP="00224BAE">
      <w:pPr>
        <w:pStyle w:val="NoSpacing"/>
        <w:jc w:val="both"/>
        <w:rPr>
          <w:rFonts w:ascii="Tw Cen MT" w:hAnsi="Tw Cen MT" w:cstheme="majorHAnsi"/>
          <w:b/>
          <w:lang w:val="en-GB"/>
        </w:rPr>
      </w:pPr>
      <w:r w:rsidRPr="00C23923">
        <w:rPr>
          <w:rFonts w:ascii="Tw Cen MT" w:hAnsi="Tw Cen MT" w:cstheme="majorHAnsi"/>
          <w:sz w:val="20"/>
          <w:szCs w:val="20"/>
          <w:lang w:val="en-GB"/>
        </w:rPr>
        <w:t>Ensure that</w:t>
      </w:r>
      <w:r w:rsidR="00521F46">
        <w:rPr>
          <w:rFonts w:ascii="Tw Cen MT" w:hAnsi="Tw Cen MT" w:cstheme="majorHAnsi"/>
          <w:sz w:val="20"/>
          <w:szCs w:val="20"/>
          <w:lang w:val="en-GB"/>
        </w:rPr>
        <w:t>,</w:t>
      </w:r>
      <w:r w:rsidRPr="00C23923">
        <w:rPr>
          <w:rFonts w:ascii="Tw Cen MT" w:hAnsi="Tw Cen MT" w:cstheme="majorHAnsi"/>
          <w:sz w:val="20"/>
          <w:szCs w:val="20"/>
          <w:lang w:val="en-GB"/>
        </w:rPr>
        <w:t xml:space="preserve"> no matter where DTM is administered, there are </w:t>
      </w:r>
      <w:r w:rsidRPr="00793090">
        <w:rPr>
          <w:rFonts w:ascii="Tw Cen MT" w:hAnsi="Tw Cen MT" w:cstheme="majorHAnsi"/>
          <w:b/>
          <w:lang w:val="en-GB"/>
        </w:rPr>
        <w:t>no questions on GBV incidence, prevalence, or types of GBV.</w:t>
      </w:r>
    </w:p>
    <w:sectPr w:rsidR="00D91B8D" w:rsidRPr="00224BAE" w:rsidSect="00546B3B">
      <w:headerReference w:type="even" r:id="rId11"/>
      <w:headerReference w:type="default" r:id="rId12"/>
      <w:footerReference w:type="even" r:id="rId13"/>
      <w:footerReference w:type="default" r:id="rId14"/>
      <w:headerReference w:type="first" r:id="rId15"/>
      <w:footerReference w:type="first" r:id="rId16"/>
      <w:pgSz w:w="11906" w:h="16838"/>
      <w:pgMar w:top="993" w:right="1417" w:bottom="993" w:left="1417" w:header="454" w:footer="2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76B66" w14:textId="77777777" w:rsidR="00C15EC7" w:rsidRDefault="00C15EC7" w:rsidP="00235660">
      <w:pPr>
        <w:spacing w:after="0" w:line="240" w:lineRule="auto"/>
      </w:pPr>
      <w:r>
        <w:separator/>
      </w:r>
    </w:p>
  </w:endnote>
  <w:endnote w:type="continuationSeparator" w:id="0">
    <w:p w14:paraId="7FA30ECF" w14:textId="77777777" w:rsidR="00C15EC7" w:rsidRDefault="00C15EC7" w:rsidP="00235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1307E" w14:textId="77777777" w:rsidR="00810468" w:rsidRDefault="008104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5970"/>
      <w:docPartObj>
        <w:docPartGallery w:val="Page Numbers (Bottom of Page)"/>
        <w:docPartUnique/>
      </w:docPartObj>
    </w:sdtPr>
    <w:sdtEndPr>
      <w:rPr>
        <w:rFonts w:asciiTheme="majorHAnsi" w:hAnsiTheme="majorHAnsi" w:cstheme="majorHAnsi"/>
        <w:sz w:val="16"/>
        <w:szCs w:val="16"/>
      </w:rPr>
    </w:sdtEndPr>
    <w:sdtContent>
      <w:p w14:paraId="1AF4F598" w14:textId="7704C83F" w:rsidR="00235660" w:rsidRPr="00235660" w:rsidRDefault="00235660" w:rsidP="00235660">
        <w:pPr>
          <w:pStyle w:val="Footer"/>
          <w:jc w:val="right"/>
          <w:rPr>
            <w:rFonts w:asciiTheme="majorHAnsi" w:hAnsiTheme="majorHAnsi" w:cstheme="majorHAnsi"/>
            <w:sz w:val="16"/>
            <w:szCs w:val="16"/>
          </w:rPr>
        </w:pPr>
        <w:r w:rsidRPr="00235660">
          <w:rPr>
            <w:rFonts w:asciiTheme="majorHAnsi" w:hAnsiTheme="majorHAnsi" w:cstheme="majorHAnsi"/>
            <w:sz w:val="16"/>
            <w:szCs w:val="16"/>
          </w:rPr>
          <w:fldChar w:fldCharType="begin"/>
        </w:r>
        <w:r w:rsidRPr="00235660">
          <w:rPr>
            <w:rFonts w:asciiTheme="majorHAnsi" w:hAnsiTheme="majorHAnsi" w:cstheme="majorHAnsi"/>
            <w:sz w:val="16"/>
            <w:szCs w:val="16"/>
          </w:rPr>
          <w:instrText>PAGE   \* MERGEFORMAT</w:instrText>
        </w:r>
        <w:r w:rsidRPr="00235660">
          <w:rPr>
            <w:rFonts w:asciiTheme="majorHAnsi" w:hAnsiTheme="majorHAnsi" w:cstheme="majorHAnsi"/>
            <w:sz w:val="16"/>
            <w:szCs w:val="16"/>
          </w:rPr>
          <w:fldChar w:fldCharType="separate"/>
        </w:r>
        <w:r w:rsidR="002071F5">
          <w:rPr>
            <w:rFonts w:asciiTheme="majorHAnsi" w:hAnsiTheme="majorHAnsi" w:cstheme="majorHAnsi"/>
            <w:noProof/>
            <w:sz w:val="16"/>
            <w:szCs w:val="16"/>
          </w:rPr>
          <w:t>4</w:t>
        </w:r>
        <w:r w:rsidRPr="00235660">
          <w:rPr>
            <w:rFonts w:asciiTheme="majorHAnsi" w:hAnsiTheme="majorHAnsi" w:cstheme="majorHAnsi"/>
            <w:sz w:val="16"/>
            <w:szCs w:val="16"/>
          </w:rPr>
          <w:fldChar w:fldCharType="end"/>
        </w:r>
      </w:p>
    </w:sdtContent>
  </w:sdt>
  <w:p w14:paraId="427E7EFE" w14:textId="77777777" w:rsidR="00235660" w:rsidRDefault="002356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694868"/>
      <w:docPartObj>
        <w:docPartGallery w:val="Page Numbers (Bottom of Page)"/>
        <w:docPartUnique/>
      </w:docPartObj>
    </w:sdtPr>
    <w:sdtEndPr>
      <w:rPr>
        <w:noProof/>
      </w:rPr>
    </w:sdtEndPr>
    <w:sdtContent>
      <w:p w14:paraId="4AC2D6BA" w14:textId="6E84A3DA" w:rsidR="00F80584" w:rsidRDefault="00F805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6347B6" w14:textId="77777777" w:rsidR="00F80584" w:rsidRDefault="00F805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91CD8" w14:textId="77777777" w:rsidR="00C15EC7" w:rsidRDefault="00C15EC7" w:rsidP="00235660">
      <w:pPr>
        <w:spacing w:after="0" w:line="240" w:lineRule="auto"/>
      </w:pPr>
      <w:r>
        <w:separator/>
      </w:r>
    </w:p>
  </w:footnote>
  <w:footnote w:type="continuationSeparator" w:id="0">
    <w:p w14:paraId="6ADB7AD1" w14:textId="77777777" w:rsidR="00C15EC7" w:rsidRDefault="00C15EC7" w:rsidP="00235660">
      <w:pPr>
        <w:spacing w:after="0" w:line="240" w:lineRule="auto"/>
      </w:pPr>
      <w:r>
        <w:continuationSeparator/>
      </w:r>
    </w:p>
  </w:footnote>
  <w:footnote w:id="1">
    <w:p w14:paraId="345A9F61" w14:textId="75665224" w:rsidR="005B2713" w:rsidRPr="005B2713" w:rsidRDefault="005B2713">
      <w:pPr>
        <w:pStyle w:val="FootnoteText"/>
        <w:rPr>
          <w:rFonts w:ascii="Tw Cen MT" w:hAnsi="Tw Cen MT"/>
          <w:sz w:val="18"/>
          <w:szCs w:val="18"/>
        </w:rPr>
      </w:pPr>
      <w:r w:rsidRPr="005B2713">
        <w:rPr>
          <w:rStyle w:val="FootnoteReference"/>
          <w:rFonts w:ascii="Tw Cen MT" w:hAnsi="Tw Cen MT"/>
          <w:sz w:val="18"/>
          <w:szCs w:val="18"/>
        </w:rPr>
        <w:footnoteRef/>
      </w:r>
      <w:r w:rsidRPr="005B2713">
        <w:rPr>
          <w:rFonts w:ascii="Tw Cen MT" w:hAnsi="Tw Cen MT"/>
          <w:sz w:val="18"/>
          <w:szCs w:val="18"/>
        </w:rPr>
        <w:t xml:space="preserve"> Except for data deemed sensitive, that are available through data sharing agreements with DTM in the country. All public data and reports are available on the website ( </w:t>
      </w:r>
      <w:hyperlink r:id="rId1" w:history="1">
        <w:r w:rsidRPr="005B2713">
          <w:rPr>
            <w:rStyle w:val="Hyperlink"/>
            <w:rFonts w:ascii="Tw Cen MT" w:hAnsi="Tw Cen MT"/>
            <w:sz w:val="18"/>
            <w:szCs w:val="18"/>
          </w:rPr>
          <w:t>https://displacement.iom.int/</w:t>
        </w:r>
      </w:hyperlink>
      <w:r w:rsidRPr="005B2713">
        <w:rPr>
          <w:rFonts w:ascii="Tw Cen MT" w:hAnsi="Tw Cen MT"/>
          <w:sz w:val="18"/>
          <w:szCs w:val="18"/>
        </w:rPr>
        <w:t xml:space="preserve"> - click on datasets or on reports at the bottom left of the page) and/or through email from the DTM team (GBV colleagues are encouraged to get in touch with DTM coordinator in the country where they work,</w:t>
      </w:r>
      <w:r w:rsidR="00450BF0">
        <w:rPr>
          <w:rFonts w:ascii="Tw Cen MT" w:hAnsi="Tw Cen MT"/>
          <w:sz w:val="18"/>
          <w:szCs w:val="18"/>
        </w:rPr>
        <w:t xml:space="preserve"> understand what type of data collection is ongoing</w:t>
      </w:r>
      <w:r w:rsidRPr="005B2713">
        <w:rPr>
          <w:rFonts w:ascii="Tw Cen MT" w:hAnsi="Tw Cen MT"/>
          <w:sz w:val="18"/>
          <w:szCs w:val="18"/>
        </w:rPr>
        <w:t xml:space="preserve"> and ensure they are on the mailing list)</w:t>
      </w:r>
      <w:r>
        <w:rPr>
          <w:rFonts w:ascii="Tw Cen MT" w:hAnsi="Tw Cen MT"/>
          <w:sz w:val="18"/>
          <w:szCs w:val="18"/>
        </w:rPr>
        <w:t>.</w:t>
      </w:r>
    </w:p>
  </w:footnote>
  <w:footnote w:id="2">
    <w:p w14:paraId="56CAFC7F" w14:textId="0AF8078A" w:rsidR="00E72B44" w:rsidRPr="00F064E9" w:rsidRDefault="00E72B44" w:rsidP="003E0B36">
      <w:pPr>
        <w:pStyle w:val="FootnoteText"/>
        <w:jc w:val="both"/>
        <w:rPr>
          <w:rFonts w:ascii="Tw Cen MT" w:hAnsi="Tw Cen MT"/>
          <w:sz w:val="18"/>
          <w:szCs w:val="18"/>
          <w:lang w:val="en-GB"/>
        </w:rPr>
      </w:pPr>
      <w:r w:rsidRPr="00F064E9">
        <w:rPr>
          <w:rStyle w:val="FootnoteReference"/>
          <w:rFonts w:ascii="Tw Cen MT" w:hAnsi="Tw Cen MT"/>
          <w:sz w:val="18"/>
          <w:szCs w:val="18"/>
        </w:rPr>
        <w:footnoteRef/>
      </w:r>
      <w:r w:rsidRPr="00F064E9">
        <w:rPr>
          <w:rFonts w:ascii="Tw Cen MT" w:hAnsi="Tw Cen MT"/>
          <w:sz w:val="18"/>
          <w:szCs w:val="18"/>
          <w:lang w:val="en-US"/>
        </w:rPr>
        <w:t xml:space="preserve"> </w:t>
      </w:r>
      <w:r w:rsidRPr="00F064E9">
        <w:rPr>
          <w:rFonts w:ascii="Tw Cen MT" w:hAnsi="Tw Cen MT"/>
          <w:sz w:val="18"/>
          <w:szCs w:val="18"/>
          <w:lang w:val="en-GB"/>
        </w:rPr>
        <w:t xml:space="preserve">DTM field companion is available in </w:t>
      </w:r>
      <w:hyperlink r:id="rId2" w:history="1">
        <w:r w:rsidRPr="00F064E9">
          <w:rPr>
            <w:rStyle w:val="Hyperlink"/>
            <w:rFonts w:ascii="Tw Cen MT" w:hAnsi="Tw Cen MT"/>
            <w:sz w:val="18"/>
            <w:szCs w:val="18"/>
            <w:lang w:val="en-GB"/>
          </w:rPr>
          <w:t>Excel</w:t>
        </w:r>
      </w:hyperlink>
      <w:r w:rsidR="00CE68AE" w:rsidRPr="00F064E9">
        <w:rPr>
          <w:rFonts w:ascii="Tw Cen MT" w:hAnsi="Tw Cen MT"/>
          <w:sz w:val="18"/>
          <w:szCs w:val="18"/>
          <w:lang w:val="en-GB"/>
        </w:rPr>
        <w:t xml:space="preserve"> </w:t>
      </w:r>
      <w:r w:rsidRPr="00F064E9">
        <w:rPr>
          <w:rFonts w:ascii="Tw Cen MT" w:hAnsi="Tw Cen MT"/>
          <w:sz w:val="18"/>
          <w:szCs w:val="18"/>
          <w:lang w:val="en-GB"/>
        </w:rPr>
        <w:t xml:space="preserve">and </w:t>
      </w:r>
      <w:hyperlink r:id="rId3" w:history="1">
        <w:r w:rsidRPr="00F064E9">
          <w:rPr>
            <w:rStyle w:val="Hyperlink"/>
            <w:rFonts w:ascii="Tw Cen MT" w:hAnsi="Tw Cen MT"/>
            <w:sz w:val="18"/>
            <w:szCs w:val="18"/>
            <w:lang w:val="en-GB"/>
          </w:rPr>
          <w:t>P</w:t>
        </w:r>
        <w:r w:rsidR="00986EA4" w:rsidRPr="00F064E9">
          <w:rPr>
            <w:rStyle w:val="Hyperlink"/>
            <w:rFonts w:ascii="Tw Cen MT" w:hAnsi="Tw Cen MT"/>
            <w:sz w:val="18"/>
            <w:szCs w:val="18"/>
            <w:lang w:val="en-GB"/>
          </w:rPr>
          <w:t>DF</w:t>
        </w:r>
      </w:hyperlink>
      <w:r w:rsidRPr="00F064E9">
        <w:rPr>
          <w:rFonts w:ascii="Tw Cen MT" w:hAnsi="Tw Cen MT"/>
          <w:sz w:val="18"/>
          <w:szCs w:val="18"/>
          <w:lang w:val="en-GB"/>
        </w:rPr>
        <w:t xml:space="preserve"> on the DTM &amp; Partners Toolkit. </w:t>
      </w:r>
      <w:hyperlink r:id="rId4" w:history="1">
        <w:r w:rsidRPr="00F064E9">
          <w:rPr>
            <w:rStyle w:val="Hyperlink"/>
            <w:rFonts w:ascii="Tw Cen MT" w:hAnsi="Tw Cen MT"/>
            <w:sz w:val="18"/>
            <w:szCs w:val="18"/>
            <w:lang w:val="en-GB"/>
          </w:rPr>
          <w:t xml:space="preserve">An introduction to the Field </w:t>
        </w:r>
        <w:r w:rsidR="00CE68AE" w:rsidRPr="00F064E9">
          <w:rPr>
            <w:rStyle w:val="Hyperlink"/>
            <w:rFonts w:ascii="Tw Cen MT" w:hAnsi="Tw Cen MT"/>
            <w:sz w:val="18"/>
            <w:szCs w:val="18"/>
            <w:lang w:val="en-GB"/>
          </w:rPr>
          <w:t>C</w:t>
        </w:r>
        <w:r w:rsidRPr="00F064E9">
          <w:rPr>
            <w:rStyle w:val="Hyperlink"/>
            <w:rFonts w:ascii="Tw Cen MT" w:hAnsi="Tw Cen MT"/>
            <w:sz w:val="18"/>
            <w:szCs w:val="18"/>
            <w:lang w:val="en-GB"/>
          </w:rPr>
          <w:t>ompanion</w:t>
        </w:r>
      </w:hyperlink>
      <w:r w:rsidRPr="00F064E9">
        <w:rPr>
          <w:rFonts w:ascii="Tw Cen MT" w:hAnsi="Tw Cen MT"/>
          <w:sz w:val="18"/>
          <w:szCs w:val="18"/>
          <w:lang w:val="en-GB"/>
        </w:rPr>
        <w:t xml:space="preserve"> is </w:t>
      </w:r>
      <w:r w:rsidR="00CE68AE" w:rsidRPr="00F064E9">
        <w:rPr>
          <w:rFonts w:ascii="Tw Cen MT" w:hAnsi="Tw Cen MT"/>
          <w:sz w:val="18"/>
          <w:szCs w:val="18"/>
          <w:lang w:val="en-GB"/>
        </w:rPr>
        <w:t xml:space="preserve">also </w:t>
      </w:r>
      <w:r w:rsidRPr="00F064E9">
        <w:rPr>
          <w:rFonts w:ascii="Tw Cen MT" w:hAnsi="Tw Cen MT"/>
          <w:sz w:val="18"/>
          <w:szCs w:val="18"/>
          <w:lang w:val="en-GB"/>
        </w:rPr>
        <w:t>available</w:t>
      </w:r>
      <w:r w:rsidR="00CE68AE" w:rsidRPr="00F064E9">
        <w:rPr>
          <w:rFonts w:ascii="Tw Cen MT" w:hAnsi="Tw Cen MT"/>
          <w:sz w:val="18"/>
          <w:szCs w:val="18"/>
          <w:lang w:val="en-GB"/>
        </w:rPr>
        <w:t xml:space="preserve">. </w:t>
      </w:r>
      <w:r w:rsidRPr="00F064E9">
        <w:rPr>
          <w:rFonts w:ascii="Tw Cen MT" w:hAnsi="Tw Cen MT"/>
          <w:sz w:val="18"/>
          <w:szCs w:val="18"/>
          <w:lang w:val="en-GB"/>
        </w:rPr>
        <w:t xml:space="preserve">Specific GBV guidance can also be found on the </w:t>
      </w:r>
      <w:hyperlink r:id="rId5" w:history="1">
        <w:r w:rsidRPr="00F064E9">
          <w:rPr>
            <w:rStyle w:val="Hyperlink"/>
            <w:rFonts w:ascii="Tw Cen MT" w:hAnsi="Tw Cen MT"/>
            <w:sz w:val="18"/>
            <w:szCs w:val="18"/>
            <w:lang w:val="en-GB"/>
          </w:rPr>
          <w:t>DTM &amp; Partners Toolkit</w:t>
        </w:r>
      </w:hyperlink>
      <w:r w:rsidR="00CE68AE" w:rsidRPr="00F064E9">
        <w:rPr>
          <w:rFonts w:ascii="Tw Cen MT" w:hAnsi="Tw Cen MT"/>
          <w:sz w:val="18"/>
          <w:szCs w:val="18"/>
          <w:lang w:val="en-GB"/>
        </w:rPr>
        <w:t>.</w:t>
      </w:r>
      <w:r w:rsidRPr="00F064E9">
        <w:rPr>
          <w:rFonts w:ascii="Tw Cen MT" w:hAnsi="Tw Cen MT"/>
          <w:sz w:val="18"/>
          <w:szCs w:val="18"/>
          <w:lang w:val="en-GB"/>
        </w:rPr>
        <w:t xml:space="preserve"> </w:t>
      </w:r>
    </w:p>
  </w:footnote>
  <w:footnote w:id="3">
    <w:p w14:paraId="656CF9A7" w14:textId="69833D20" w:rsidR="0098319A" w:rsidRPr="00F064E9" w:rsidRDefault="0098319A">
      <w:pPr>
        <w:pStyle w:val="FootnoteText"/>
        <w:rPr>
          <w:rFonts w:ascii="Tw Cen MT" w:hAnsi="Tw Cen MT"/>
          <w:sz w:val="18"/>
          <w:szCs w:val="18"/>
        </w:rPr>
      </w:pPr>
      <w:r w:rsidRPr="00F064E9">
        <w:rPr>
          <w:rStyle w:val="FootnoteReference"/>
          <w:rFonts w:ascii="Tw Cen MT" w:hAnsi="Tw Cen MT"/>
          <w:sz w:val="18"/>
          <w:szCs w:val="18"/>
        </w:rPr>
        <w:footnoteRef/>
      </w:r>
      <w:r w:rsidRPr="00F064E9">
        <w:rPr>
          <w:rFonts w:ascii="Tw Cen MT" w:hAnsi="Tw Cen MT"/>
          <w:sz w:val="18"/>
          <w:szCs w:val="18"/>
        </w:rPr>
        <w:t xml:space="preserve"> For other aspects of accessibility, as well as for quality, use and awareness of services other methods and sources of data </w:t>
      </w:r>
      <w:r w:rsidRPr="009B7504">
        <w:rPr>
          <w:rFonts w:ascii="Tw Cen MT" w:hAnsi="Tw Cen MT"/>
          <w:sz w:val="18"/>
          <w:szCs w:val="18"/>
          <w:lang w:val="en-GB"/>
        </w:rPr>
        <w:t>collection</w:t>
      </w:r>
      <w:r w:rsidRPr="00F064E9">
        <w:rPr>
          <w:rFonts w:ascii="Tw Cen MT" w:hAnsi="Tw Cen MT"/>
          <w:sz w:val="18"/>
          <w:szCs w:val="18"/>
        </w:rPr>
        <w:t xml:space="preserve"> must be used: Focus Group Discussions with homogeneous groups</w:t>
      </w:r>
      <w:r w:rsidR="00F064E9" w:rsidRPr="00F064E9">
        <w:rPr>
          <w:rFonts w:ascii="Tw Cen MT" w:hAnsi="Tw Cen MT"/>
          <w:sz w:val="18"/>
          <w:szCs w:val="18"/>
        </w:rPr>
        <w:t xml:space="preserve">, </w:t>
      </w:r>
      <w:r w:rsidR="00F064E9">
        <w:rPr>
          <w:rFonts w:ascii="Tw Cen MT" w:hAnsi="Tw Cen MT"/>
          <w:sz w:val="18"/>
          <w:szCs w:val="18"/>
        </w:rPr>
        <w:t>I</w:t>
      </w:r>
      <w:r w:rsidRPr="00F064E9">
        <w:rPr>
          <w:rFonts w:ascii="Tw Cen MT" w:hAnsi="Tw Cen MT"/>
          <w:sz w:val="18"/>
          <w:szCs w:val="18"/>
        </w:rPr>
        <w:t xml:space="preserve">nterviews with </w:t>
      </w:r>
      <w:r w:rsidR="00F064E9">
        <w:rPr>
          <w:rFonts w:ascii="Tw Cen MT" w:hAnsi="Tw Cen MT"/>
          <w:sz w:val="18"/>
          <w:szCs w:val="18"/>
        </w:rPr>
        <w:t>S</w:t>
      </w:r>
      <w:r w:rsidRPr="00F064E9">
        <w:rPr>
          <w:rFonts w:ascii="Tw Cen MT" w:hAnsi="Tw Cen MT"/>
          <w:sz w:val="18"/>
          <w:szCs w:val="18"/>
        </w:rPr>
        <w:t xml:space="preserve">ervice </w:t>
      </w:r>
      <w:r w:rsidR="00F064E9">
        <w:rPr>
          <w:rFonts w:ascii="Tw Cen MT" w:hAnsi="Tw Cen MT"/>
          <w:sz w:val="18"/>
          <w:szCs w:val="18"/>
        </w:rPr>
        <w:t>P</w:t>
      </w:r>
      <w:r w:rsidRPr="00F064E9">
        <w:rPr>
          <w:rFonts w:ascii="Tw Cen MT" w:hAnsi="Tw Cen MT"/>
          <w:sz w:val="18"/>
          <w:szCs w:val="18"/>
        </w:rPr>
        <w:t>roviders</w:t>
      </w:r>
      <w:r w:rsidR="00F064E9" w:rsidRPr="00F064E9">
        <w:rPr>
          <w:rFonts w:ascii="Tw Cen MT" w:hAnsi="Tw Cen MT"/>
          <w:sz w:val="18"/>
          <w:szCs w:val="18"/>
        </w:rPr>
        <w:t>. Ho</w:t>
      </w:r>
      <w:r w:rsidRPr="00F064E9">
        <w:rPr>
          <w:rFonts w:ascii="Tw Cen MT" w:hAnsi="Tw Cen MT"/>
          <w:sz w:val="18"/>
          <w:szCs w:val="18"/>
        </w:rPr>
        <w:t xml:space="preserve">usehold interviews </w:t>
      </w:r>
      <w:r w:rsidR="00F064E9" w:rsidRPr="00F064E9">
        <w:rPr>
          <w:rFonts w:ascii="Tw Cen MT" w:hAnsi="Tw Cen MT"/>
          <w:sz w:val="18"/>
          <w:szCs w:val="18"/>
        </w:rPr>
        <w:t xml:space="preserve">can be useful to identify specific barriers, </w:t>
      </w:r>
      <w:r w:rsidR="00F064E9">
        <w:rPr>
          <w:rFonts w:ascii="Tw Cen MT" w:hAnsi="Tw Cen MT"/>
          <w:sz w:val="18"/>
          <w:szCs w:val="18"/>
        </w:rPr>
        <w:t>and for</w:t>
      </w:r>
      <w:r w:rsidR="00F064E9" w:rsidRPr="00F064E9">
        <w:rPr>
          <w:rFonts w:ascii="Tw Cen MT" w:hAnsi="Tw Cen MT"/>
          <w:sz w:val="18"/>
          <w:szCs w:val="18"/>
        </w:rPr>
        <w:t xml:space="preserve"> use and awareness of basic goods and services: remember not to ask about GBV services in Household interviews, as it does not prov</w:t>
      </w:r>
      <w:r w:rsidR="00F064E9">
        <w:rPr>
          <w:rFonts w:ascii="Tw Cen MT" w:hAnsi="Tw Cen MT"/>
          <w:sz w:val="18"/>
          <w:szCs w:val="18"/>
        </w:rPr>
        <w:t>i</w:t>
      </w:r>
      <w:r w:rsidR="00F064E9" w:rsidRPr="00F064E9">
        <w:rPr>
          <w:rFonts w:ascii="Tw Cen MT" w:hAnsi="Tw Cen MT"/>
          <w:sz w:val="18"/>
          <w:szCs w:val="18"/>
        </w:rPr>
        <w:t xml:space="preserve">de reliable information and </w:t>
      </w:r>
      <w:r w:rsidR="00F064E9">
        <w:rPr>
          <w:rFonts w:ascii="Tw Cen MT" w:hAnsi="Tw Cen MT"/>
          <w:sz w:val="18"/>
          <w:szCs w:val="18"/>
        </w:rPr>
        <w:t xml:space="preserve">can </w:t>
      </w:r>
      <w:r w:rsidR="00F064E9" w:rsidRPr="00F064E9">
        <w:rPr>
          <w:rFonts w:ascii="Tw Cen MT" w:hAnsi="Tw Cen MT"/>
          <w:sz w:val="18"/>
          <w:szCs w:val="18"/>
        </w:rPr>
        <w:t>even do harm to the vulnerable members of the household (think of who is answering the questions and who is listening to the interviews).</w:t>
      </w:r>
    </w:p>
  </w:footnote>
  <w:footnote w:id="4">
    <w:p w14:paraId="142DB610" w14:textId="2634A635" w:rsidR="006C081F" w:rsidRPr="00F064E9" w:rsidRDefault="006C081F" w:rsidP="00CE68AE">
      <w:pPr>
        <w:pStyle w:val="FootnoteText"/>
        <w:jc w:val="both"/>
        <w:rPr>
          <w:rFonts w:ascii="Tw Cen MT" w:hAnsi="Tw Cen MT"/>
          <w:sz w:val="18"/>
          <w:szCs w:val="18"/>
          <w:lang w:val="en-US"/>
        </w:rPr>
      </w:pPr>
      <w:r w:rsidRPr="00F064E9">
        <w:rPr>
          <w:rStyle w:val="FootnoteReference"/>
          <w:rFonts w:ascii="Tw Cen MT" w:hAnsi="Tw Cen MT"/>
          <w:sz w:val="18"/>
          <w:szCs w:val="18"/>
        </w:rPr>
        <w:footnoteRef/>
      </w:r>
      <w:r w:rsidRPr="00F064E9">
        <w:rPr>
          <w:rFonts w:ascii="Tw Cen MT" w:hAnsi="Tw Cen MT"/>
          <w:sz w:val="18"/>
          <w:szCs w:val="18"/>
          <w:lang w:val="en-US"/>
        </w:rPr>
        <w:t xml:space="preserve"> “Waiting for or seeking population-based data on the true magnitude of GBV should not be a priority in an emergency due to safety and ethical challenges in collecting such data. With this in mind, all humanitarian personnel ought to assume GBV is occurring and threatening affected populations; treat it as a serious and life-threatening problem; and </w:t>
      </w:r>
      <w:r w:rsidRPr="00F064E9">
        <w:rPr>
          <w:rFonts w:ascii="Tw Cen MT" w:hAnsi="Tw Cen MT"/>
          <w:b/>
          <w:sz w:val="18"/>
          <w:szCs w:val="18"/>
          <w:lang w:val="en-US"/>
        </w:rPr>
        <w:t>take actions based on sector recommendations in these Guidelines, regardless of the presence or absence of concrete ‘evidence</w:t>
      </w:r>
      <w:r w:rsidRPr="00F064E9">
        <w:rPr>
          <w:rFonts w:ascii="Tw Cen MT" w:hAnsi="Tw Cen MT"/>
          <w:sz w:val="18"/>
          <w:szCs w:val="18"/>
          <w:lang w:val="en-US"/>
        </w:rPr>
        <w:t xml:space="preserve">’.” </w:t>
      </w:r>
      <w:hyperlink r:id="rId6" w:history="1">
        <w:r w:rsidRPr="00F064E9">
          <w:rPr>
            <w:rStyle w:val="Hyperlink"/>
            <w:rFonts w:ascii="Tw Cen MT" w:hAnsi="Tw Cen MT"/>
            <w:sz w:val="18"/>
            <w:szCs w:val="18"/>
            <w:lang w:val="en-US"/>
          </w:rPr>
          <w:t>IASC Guideline for Integrating Gender-Based Violence Interventions in Humanitarian Action</w:t>
        </w:r>
      </w:hyperlink>
      <w:r w:rsidR="00CE68AE" w:rsidRPr="00F064E9">
        <w:rPr>
          <w:rFonts w:ascii="Tw Cen MT" w:hAnsi="Tw Cen MT"/>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F3A2D" w14:textId="77777777" w:rsidR="00810468" w:rsidRDefault="008104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2CAE" w14:textId="77777777" w:rsidR="00810468" w:rsidRDefault="008104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F392A" w14:textId="3DCDDFDB" w:rsidR="00D51172" w:rsidRPr="00B45A0D" w:rsidRDefault="00810468" w:rsidP="00D51172">
    <w:pPr>
      <w:pStyle w:val="NoSpacing"/>
      <w:rPr>
        <w:rFonts w:ascii="Tw Cen MT" w:hAnsi="Tw Cen MT"/>
        <w:sz w:val="28"/>
        <w:lang w:val="en-US"/>
      </w:rPr>
    </w:pPr>
    <w:r>
      <w:rPr>
        <w:rFonts w:ascii="Tw Cen MT" w:hAnsi="Tw Cen MT"/>
        <w:sz w:val="28"/>
        <w:lang w:val="en-US"/>
      </w:rPr>
      <w:t>DTM &amp;</w:t>
    </w:r>
    <w:r w:rsidR="00D51172" w:rsidRPr="00B45A0D">
      <w:rPr>
        <w:rFonts w:ascii="Tw Cen MT" w:hAnsi="Tw Cen MT"/>
        <w:sz w:val="28"/>
        <w:lang w:val="en-US"/>
      </w:rPr>
      <w:t xml:space="preserve"> </w:t>
    </w:r>
    <w:r>
      <w:rPr>
        <w:rFonts w:ascii="Tw Cen MT" w:hAnsi="Tw Cen MT"/>
        <w:sz w:val="28"/>
        <w:lang w:val="en-US"/>
      </w:rPr>
      <w:t xml:space="preserve">Global </w:t>
    </w:r>
    <w:r w:rsidR="00D51172" w:rsidRPr="00B45A0D">
      <w:rPr>
        <w:rFonts w:ascii="Tw Cen MT" w:hAnsi="Tw Cen MT"/>
        <w:sz w:val="28"/>
        <w:lang w:val="en-US"/>
      </w:rPr>
      <w:t>GENDER BASED VIOLENCE</w:t>
    </w:r>
    <w:r>
      <w:rPr>
        <w:rFonts w:ascii="Tw Cen MT" w:hAnsi="Tw Cen MT"/>
        <w:sz w:val="28"/>
        <w:lang w:val="en-US"/>
      </w:rPr>
      <w:t xml:space="preserve"> AoR</w:t>
    </w:r>
  </w:p>
  <w:p w14:paraId="3500CD23" w14:textId="77777777" w:rsidR="00D51172" w:rsidRDefault="00D51172" w:rsidP="00D51172">
    <w:pPr>
      <w:pStyle w:val="NoSpacing"/>
      <w:rPr>
        <w:rFonts w:ascii="Tw Cen MT" w:hAnsi="Tw Cen MT"/>
        <w:b/>
        <w:sz w:val="44"/>
        <w:lang w:val="en-US"/>
      </w:rPr>
    </w:pPr>
    <w:r>
      <w:rPr>
        <w:rFonts w:ascii="Tw Cen MT" w:hAnsi="Tw Cen MT"/>
        <w:b/>
        <w:sz w:val="44"/>
        <w:lang w:val="en-US"/>
      </w:rPr>
      <w:t xml:space="preserve">Using DTM Multisectoral Location Assessment </w:t>
    </w:r>
  </w:p>
  <w:p w14:paraId="3DFC7517" w14:textId="3A988F6A" w:rsidR="00B45A0D" w:rsidRDefault="00D51172" w:rsidP="00D51172">
    <w:pPr>
      <w:pStyle w:val="NoSpacing"/>
      <w:rPr>
        <w:rFonts w:ascii="Tw Cen MT" w:hAnsi="Tw Cen MT"/>
        <w:b/>
        <w:sz w:val="44"/>
        <w:lang w:val="en-US"/>
      </w:rPr>
    </w:pPr>
    <w:r>
      <w:rPr>
        <w:rFonts w:ascii="Tw Cen MT" w:hAnsi="Tw Cen MT"/>
        <w:b/>
        <w:sz w:val="44"/>
        <w:lang w:val="en-US"/>
      </w:rPr>
      <w:t>to inform GBV response</w:t>
    </w:r>
  </w:p>
  <w:p w14:paraId="09C2AC34" w14:textId="77777777" w:rsidR="00F13FA1" w:rsidRPr="00D51172" w:rsidRDefault="00F13FA1" w:rsidP="00D51172">
    <w:pPr>
      <w:pStyle w:val="NoSpacing"/>
      <w:rPr>
        <w:rFonts w:ascii="Tw Cen MT" w:hAnsi="Tw Cen MT"/>
        <w:sz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1A9F"/>
    <w:multiLevelType w:val="hybridMultilevel"/>
    <w:tmpl w:val="13EC86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ED39E6"/>
    <w:multiLevelType w:val="hybridMultilevel"/>
    <w:tmpl w:val="AD9E0CFE"/>
    <w:lvl w:ilvl="0" w:tplc="0809000D">
      <w:start w:val="1"/>
      <w:numFmt w:val="bullet"/>
      <w:lvlText w:val=""/>
      <w:lvlJc w:val="left"/>
      <w:pPr>
        <w:ind w:left="1068" w:hanging="360"/>
      </w:pPr>
      <w:rPr>
        <w:rFonts w:ascii="Wingdings" w:hAnsi="Wingding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 w15:restartNumberingAfterBreak="0">
    <w:nsid w:val="06A81A39"/>
    <w:multiLevelType w:val="hybridMultilevel"/>
    <w:tmpl w:val="8A2C2952"/>
    <w:lvl w:ilvl="0" w:tplc="843C52B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0BA56C9B"/>
    <w:multiLevelType w:val="hybridMultilevel"/>
    <w:tmpl w:val="84F65EA4"/>
    <w:lvl w:ilvl="0" w:tplc="E74E5AE6">
      <w:start w:val="1"/>
      <w:numFmt w:val="lowerLetter"/>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4" w15:restartNumberingAfterBreak="0">
    <w:nsid w:val="0D2F6648"/>
    <w:multiLevelType w:val="hybridMultilevel"/>
    <w:tmpl w:val="5718B0FA"/>
    <w:lvl w:ilvl="0" w:tplc="A9AE16B4">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10EE25F3"/>
    <w:multiLevelType w:val="hybridMultilevel"/>
    <w:tmpl w:val="0FA6B67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427B11"/>
    <w:multiLevelType w:val="hybridMultilevel"/>
    <w:tmpl w:val="0CC8B816"/>
    <w:lvl w:ilvl="0" w:tplc="C14C226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18C736AD"/>
    <w:multiLevelType w:val="hybridMultilevel"/>
    <w:tmpl w:val="98FCA38A"/>
    <w:lvl w:ilvl="0" w:tplc="948E8C86">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1BAB225C"/>
    <w:multiLevelType w:val="hybridMultilevel"/>
    <w:tmpl w:val="116CC07E"/>
    <w:lvl w:ilvl="0" w:tplc="08090001">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 w15:restartNumberingAfterBreak="0">
    <w:nsid w:val="1D2C6028"/>
    <w:multiLevelType w:val="hybridMultilevel"/>
    <w:tmpl w:val="112657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4882CF9"/>
    <w:multiLevelType w:val="hybridMultilevel"/>
    <w:tmpl w:val="ABFA207C"/>
    <w:lvl w:ilvl="0" w:tplc="3FB808DE">
      <w:start w:val="1"/>
      <w:numFmt w:val="lowerLetter"/>
      <w:lvlText w:val="%1)"/>
      <w:lvlJc w:val="left"/>
      <w:pPr>
        <w:ind w:left="2484" w:hanging="360"/>
      </w:pPr>
      <w:rPr>
        <w:rFonts w:hint="default"/>
      </w:rPr>
    </w:lvl>
    <w:lvl w:ilvl="1" w:tplc="04130019" w:tentative="1">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11" w15:restartNumberingAfterBreak="0">
    <w:nsid w:val="28423265"/>
    <w:multiLevelType w:val="hybridMultilevel"/>
    <w:tmpl w:val="829AE12C"/>
    <w:lvl w:ilvl="0" w:tplc="A96075D8">
      <w:start w:val="1"/>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D564766"/>
    <w:multiLevelType w:val="hybridMultilevel"/>
    <w:tmpl w:val="8CE6E8BA"/>
    <w:lvl w:ilvl="0" w:tplc="B6C2A5C2">
      <w:start w:val="1"/>
      <w:numFmt w:val="lowerLetter"/>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3" w15:restartNumberingAfterBreak="0">
    <w:nsid w:val="3E3F34A1"/>
    <w:multiLevelType w:val="hybridMultilevel"/>
    <w:tmpl w:val="9E0A7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57249E"/>
    <w:multiLevelType w:val="hybridMultilevel"/>
    <w:tmpl w:val="B7061314"/>
    <w:lvl w:ilvl="0" w:tplc="91528D2E">
      <w:start w:val="1"/>
      <w:numFmt w:val="bullet"/>
      <w:lvlText w:val="-"/>
      <w:lvlJc w:val="left"/>
      <w:pPr>
        <w:ind w:left="3900" w:hanging="360"/>
      </w:pPr>
      <w:rPr>
        <w:rFonts w:ascii="Tw Cen MT" w:eastAsiaTheme="minorHAnsi" w:hAnsi="Tw Cen MT" w:cstheme="majorHAnsi" w:hint="default"/>
      </w:rPr>
    </w:lvl>
    <w:lvl w:ilvl="1" w:tplc="04130003" w:tentative="1">
      <w:start w:val="1"/>
      <w:numFmt w:val="bullet"/>
      <w:lvlText w:val="o"/>
      <w:lvlJc w:val="left"/>
      <w:pPr>
        <w:ind w:left="4620" w:hanging="360"/>
      </w:pPr>
      <w:rPr>
        <w:rFonts w:ascii="Courier New" w:hAnsi="Courier New" w:cs="Courier New" w:hint="default"/>
      </w:rPr>
    </w:lvl>
    <w:lvl w:ilvl="2" w:tplc="04130005" w:tentative="1">
      <w:start w:val="1"/>
      <w:numFmt w:val="bullet"/>
      <w:lvlText w:val=""/>
      <w:lvlJc w:val="left"/>
      <w:pPr>
        <w:ind w:left="5340" w:hanging="360"/>
      </w:pPr>
      <w:rPr>
        <w:rFonts w:ascii="Wingdings" w:hAnsi="Wingdings" w:hint="default"/>
      </w:rPr>
    </w:lvl>
    <w:lvl w:ilvl="3" w:tplc="04130001" w:tentative="1">
      <w:start w:val="1"/>
      <w:numFmt w:val="bullet"/>
      <w:lvlText w:val=""/>
      <w:lvlJc w:val="left"/>
      <w:pPr>
        <w:ind w:left="6060" w:hanging="360"/>
      </w:pPr>
      <w:rPr>
        <w:rFonts w:ascii="Symbol" w:hAnsi="Symbol" w:hint="default"/>
      </w:rPr>
    </w:lvl>
    <w:lvl w:ilvl="4" w:tplc="04130003" w:tentative="1">
      <w:start w:val="1"/>
      <w:numFmt w:val="bullet"/>
      <w:lvlText w:val="o"/>
      <w:lvlJc w:val="left"/>
      <w:pPr>
        <w:ind w:left="6780" w:hanging="360"/>
      </w:pPr>
      <w:rPr>
        <w:rFonts w:ascii="Courier New" w:hAnsi="Courier New" w:cs="Courier New" w:hint="default"/>
      </w:rPr>
    </w:lvl>
    <w:lvl w:ilvl="5" w:tplc="04130005" w:tentative="1">
      <w:start w:val="1"/>
      <w:numFmt w:val="bullet"/>
      <w:lvlText w:val=""/>
      <w:lvlJc w:val="left"/>
      <w:pPr>
        <w:ind w:left="7500" w:hanging="360"/>
      </w:pPr>
      <w:rPr>
        <w:rFonts w:ascii="Wingdings" w:hAnsi="Wingdings" w:hint="default"/>
      </w:rPr>
    </w:lvl>
    <w:lvl w:ilvl="6" w:tplc="04130001" w:tentative="1">
      <w:start w:val="1"/>
      <w:numFmt w:val="bullet"/>
      <w:lvlText w:val=""/>
      <w:lvlJc w:val="left"/>
      <w:pPr>
        <w:ind w:left="8220" w:hanging="360"/>
      </w:pPr>
      <w:rPr>
        <w:rFonts w:ascii="Symbol" w:hAnsi="Symbol" w:hint="default"/>
      </w:rPr>
    </w:lvl>
    <w:lvl w:ilvl="7" w:tplc="04130003" w:tentative="1">
      <w:start w:val="1"/>
      <w:numFmt w:val="bullet"/>
      <w:lvlText w:val="o"/>
      <w:lvlJc w:val="left"/>
      <w:pPr>
        <w:ind w:left="8940" w:hanging="360"/>
      </w:pPr>
      <w:rPr>
        <w:rFonts w:ascii="Courier New" w:hAnsi="Courier New" w:cs="Courier New" w:hint="default"/>
      </w:rPr>
    </w:lvl>
    <w:lvl w:ilvl="8" w:tplc="04130005" w:tentative="1">
      <w:start w:val="1"/>
      <w:numFmt w:val="bullet"/>
      <w:lvlText w:val=""/>
      <w:lvlJc w:val="left"/>
      <w:pPr>
        <w:ind w:left="9660" w:hanging="360"/>
      </w:pPr>
      <w:rPr>
        <w:rFonts w:ascii="Wingdings" w:hAnsi="Wingdings" w:hint="default"/>
      </w:rPr>
    </w:lvl>
  </w:abstractNum>
  <w:abstractNum w:abstractNumId="15" w15:restartNumberingAfterBreak="0">
    <w:nsid w:val="4BB81A83"/>
    <w:multiLevelType w:val="hybridMultilevel"/>
    <w:tmpl w:val="7E645D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E0F6229"/>
    <w:multiLevelType w:val="hybridMultilevel"/>
    <w:tmpl w:val="1ED088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C1314DB"/>
    <w:multiLevelType w:val="hybridMultilevel"/>
    <w:tmpl w:val="26A04012"/>
    <w:lvl w:ilvl="0" w:tplc="4B22B94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2632FA1"/>
    <w:multiLevelType w:val="hybridMultilevel"/>
    <w:tmpl w:val="ED9076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47D374A"/>
    <w:multiLevelType w:val="hybridMultilevel"/>
    <w:tmpl w:val="3348B9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8506BF1"/>
    <w:multiLevelType w:val="hybridMultilevel"/>
    <w:tmpl w:val="AA642D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7B42E4"/>
    <w:multiLevelType w:val="hybridMultilevel"/>
    <w:tmpl w:val="FBFA4B82"/>
    <w:lvl w:ilvl="0" w:tplc="A7387FA2">
      <w:start w:val="1"/>
      <w:numFmt w:val="lowerLetter"/>
      <w:lvlText w:val="%1)"/>
      <w:lvlJc w:val="left"/>
      <w:pPr>
        <w:ind w:left="1080" w:hanging="360"/>
      </w:pPr>
      <w:rPr>
        <w:rFonts w:hint="default"/>
        <w:i/>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7A4E4F95"/>
    <w:multiLevelType w:val="hybridMultilevel"/>
    <w:tmpl w:val="BC661234"/>
    <w:lvl w:ilvl="0" w:tplc="6D6C6ACE">
      <w:start w:val="1"/>
      <w:numFmt w:val="lowerLetter"/>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23" w15:restartNumberingAfterBreak="0">
    <w:nsid w:val="7D323954"/>
    <w:multiLevelType w:val="hybridMultilevel"/>
    <w:tmpl w:val="D442682E"/>
    <w:lvl w:ilvl="0" w:tplc="B798B4FC">
      <w:start w:val="1"/>
      <w:numFmt w:val="upperLetter"/>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24" w15:restartNumberingAfterBreak="0">
    <w:nsid w:val="7F692C95"/>
    <w:multiLevelType w:val="hybridMultilevel"/>
    <w:tmpl w:val="D7CA0F8E"/>
    <w:lvl w:ilvl="0" w:tplc="71A66F7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16cid:durableId="818961548">
    <w:abstractNumId w:val="18"/>
  </w:num>
  <w:num w:numId="2" w16cid:durableId="1636567538">
    <w:abstractNumId w:val="16"/>
  </w:num>
  <w:num w:numId="3" w16cid:durableId="1422095982">
    <w:abstractNumId w:val="15"/>
  </w:num>
  <w:num w:numId="4" w16cid:durableId="1863130362">
    <w:abstractNumId w:val="2"/>
  </w:num>
  <w:num w:numId="5" w16cid:durableId="1578519831">
    <w:abstractNumId w:val="0"/>
  </w:num>
  <w:num w:numId="6" w16cid:durableId="1322730525">
    <w:abstractNumId w:val="11"/>
  </w:num>
  <w:num w:numId="7" w16cid:durableId="1988825389">
    <w:abstractNumId w:val="9"/>
  </w:num>
  <w:num w:numId="8" w16cid:durableId="329673552">
    <w:abstractNumId w:val="5"/>
  </w:num>
  <w:num w:numId="9" w16cid:durableId="1138382716">
    <w:abstractNumId w:val="12"/>
  </w:num>
  <w:num w:numId="10" w16cid:durableId="983659173">
    <w:abstractNumId w:val="21"/>
  </w:num>
  <w:num w:numId="11" w16cid:durableId="934366580">
    <w:abstractNumId w:val="22"/>
  </w:num>
  <w:num w:numId="12" w16cid:durableId="988174756">
    <w:abstractNumId w:val="6"/>
  </w:num>
  <w:num w:numId="13" w16cid:durableId="547686949">
    <w:abstractNumId w:val="23"/>
  </w:num>
  <w:num w:numId="14" w16cid:durableId="521827038">
    <w:abstractNumId w:val="7"/>
  </w:num>
  <w:num w:numId="15" w16cid:durableId="114912803">
    <w:abstractNumId w:val="3"/>
  </w:num>
  <w:num w:numId="16" w16cid:durableId="1284573431">
    <w:abstractNumId w:val="24"/>
  </w:num>
  <w:num w:numId="17" w16cid:durableId="1430733900">
    <w:abstractNumId w:val="10"/>
  </w:num>
  <w:num w:numId="18" w16cid:durableId="912350225">
    <w:abstractNumId w:val="14"/>
  </w:num>
  <w:num w:numId="19" w16cid:durableId="1770269491">
    <w:abstractNumId w:val="4"/>
  </w:num>
  <w:num w:numId="20" w16cid:durableId="2125878147">
    <w:abstractNumId w:val="17"/>
  </w:num>
  <w:num w:numId="21" w16cid:durableId="1040280049">
    <w:abstractNumId w:val="19"/>
  </w:num>
  <w:num w:numId="22" w16cid:durableId="280264553">
    <w:abstractNumId w:val="13"/>
  </w:num>
  <w:num w:numId="23" w16cid:durableId="1689943979">
    <w:abstractNumId w:val="8"/>
  </w:num>
  <w:num w:numId="24" w16cid:durableId="1922252429">
    <w:abstractNumId w:val="1"/>
  </w:num>
  <w:num w:numId="25" w16cid:durableId="18691338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F50"/>
    <w:rsid w:val="000020C9"/>
    <w:rsid w:val="00002DDB"/>
    <w:rsid w:val="00005523"/>
    <w:rsid w:val="0001540A"/>
    <w:rsid w:val="00040AEF"/>
    <w:rsid w:val="00041B46"/>
    <w:rsid w:val="00046F6E"/>
    <w:rsid w:val="00064B8F"/>
    <w:rsid w:val="000677A1"/>
    <w:rsid w:val="00067A24"/>
    <w:rsid w:val="00072D06"/>
    <w:rsid w:val="0007609F"/>
    <w:rsid w:val="00083172"/>
    <w:rsid w:val="000B43E4"/>
    <w:rsid w:val="000C0D0A"/>
    <w:rsid w:val="000C53DA"/>
    <w:rsid w:val="000D326D"/>
    <w:rsid w:val="000F2269"/>
    <w:rsid w:val="000F7503"/>
    <w:rsid w:val="00121CF1"/>
    <w:rsid w:val="0015578C"/>
    <w:rsid w:val="00166F86"/>
    <w:rsid w:val="00170100"/>
    <w:rsid w:val="00172CB6"/>
    <w:rsid w:val="00197C3C"/>
    <w:rsid w:val="001A0915"/>
    <w:rsid w:val="001A1C59"/>
    <w:rsid w:val="001B1D5F"/>
    <w:rsid w:val="001B6639"/>
    <w:rsid w:val="001C2176"/>
    <w:rsid w:val="00203A41"/>
    <w:rsid w:val="00203C10"/>
    <w:rsid w:val="002071F5"/>
    <w:rsid w:val="00224BAE"/>
    <w:rsid w:val="0023294C"/>
    <w:rsid w:val="00235660"/>
    <w:rsid w:val="002552E7"/>
    <w:rsid w:val="0026277D"/>
    <w:rsid w:val="002B07AE"/>
    <w:rsid w:val="002B5DDD"/>
    <w:rsid w:val="002B75D1"/>
    <w:rsid w:val="002D1DCF"/>
    <w:rsid w:val="002D485E"/>
    <w:rsid w:val="002D5655"/>
    <w:rsid w:val="002E0DC8"/>
    <w:rsid w:val="002E650D"/>
    <w:rsid w:val="002F23A3"/>
    <w:rsid w:val="00300831"/>
    <w:rsid w:val="003129DA"/>
    <w:rsid w:val="00317E41"/>
    <w:rsid w:val="00354F50"/>
    <w:rsid w:val="00355FC4"/>
    <w:rsid w:val="0035746E"/>
    <w:rsid w:val="003772E4"/>
    <w:rsid w:val="003805C6"/>
    <w:rsid w:val="00383B1A"/>
    <w:rsid w:val="0039179E"/>
    <w:rsid w:val="00394101"/>
    <w:rsid w:val="003C5348"/>
    <w:rsid w:val="003E0B36"/>
    <w:rsid w:val="003E5131"/>
    <w:rsid w:val="003F3803"/>
    <w:rsid w:val="003F6DE3"/>
    <w:rsid w:val="003F7221"/>
    <w:rsid w:val="0040740D"/>
    <w:rsid w:val="004106CD"/>
    <w:rsid w:val="00414EEE"/>
    <w:rsid w:val="00424E80"/>
    <w:rsid w:val="004435DF"/>
    <w:rsid w:val="00450BF0"/>
    <w:rsid w:val="004601D5"/>
    <w:rsid w:val="00481634"/>
    <w:rsid w:val="004859DF"/>
    <w:rsid w:val="00491C6A"/>
    <w:rsid w:val="004B6D89"/>
    <w:rsid w:val="004C6FD2"/>
    <w:rsid w:val="004D4323"/>
    <w:rsid w:val="004E2432"/>
    <w:rsid w:val="004E53CB"/>
    <w:rsid w:val="00500F9C"/>
    <w:rsid w:val="00515083"/>
    <w:rsid w:val="00521CF5"/>
    <w:rsid w:val="00521F46"/>
    <w:rsid w:val="005257F6"/>
    <w:rsid w:val="00540219"/>
    <w:rsid w:val="00541A4B"/>
    <w:rsid w:val="00544950"/>
    <w:rsid w:val="00545B2D"/>
    <w:rsid w:val="00545F61"/>
    <w:rsid w:val="00546B3B"/>
    <w:rsid w:val="00573A19"/>
    <w:rsid w:val="005818A3"/>
    <w:rsid w:val="005A020F"/>
    <w:rsid w:val="005A18CB"/>
    <w:rsid w:val="005B2713"/>
    <w:rsid w:val="005C2F09"/>
    <w:rsid w:val="005D25D1"/>
    <w:rsid w:val="005D6CB3"/>
    <w:rsid w:val="00600FAA"/>
    <w:rsid w:val="00607182"/>
    <w:rsid w:val="006072C8"/>
    <w:rsid w:val="00642898"/>
    <w:rsid w:val="00666977"/>
    <w:rsid w:val="00666D4D"/>
    <w:rsid w:val="006C081F"/>
    <w:rsid w:val="006D189F"/>
    <w:rsid w:val="00703D0B"/>
    <w:rsid w:val="007363A0"/>
    <w:rsid w:val="00752E09"/>
    <w:rsid w:val="00764680"/>
    <w:rsid w:val="007655BB"/>
    <w:rsid w:val="0078234F"/>
    <w:rsid w:val="00791445"/>
    <w:rsid w:val="00793090"/>
    <w:rsid w:val="007A74C3"/>
    <w:rsid w:val="007E272E"/>
    <w:rsid w:val="007F5E63"/>
    <w:rsid w:val="007F70A2"/>
    <w:rsid w:val="00810468"/>
    <w:rsid w:val="00820F20"/>
    <w:rsid w:val="00821BFF"/>
    <w:rsid w:val="0082266E"/>
    <w:rsid w:val="00836E1B"/>
    <w:rsid w:val="00847A3E"/>
    <w:rsid w:val="0086356F"/>
    <w:rsid w:val="008740E6"/>
    <w:rsid w:val="00884E8C"/>
    <w:rsid w:val="00886CCB"/>
    <w:rsid w:val="008B3FEC"/>
    <w:rsid w:val="008B5B44"/>
    <w:rsid w:val="008B6F21"/>
    <w:rsid w:val="008B6FF1"/>
    <w:rsid w:val="008C2F52"/>
    <w:rsid w:val="008E51B9"/>
    <w:rsid w:val="008F0328"/>
    <w:rsid w:val="008F1BB6"/>
    <w:rsid w:val="008F2A1F"/>
    <w:rsid w:val="00916701"/>
    <w:rsid w:val="00926145"/>
    <w:rsid w:val="00934633"/>
    <w:rsid w:val="00946131"/>
    <w:rsid w:val="00955D1F"/>
    <w:rsid w:val="00956271"/>
    <w:rsid w:val="0098319A"/>
    <w:rsid w:val="00986EA4"/>
    <w:rsid w:val="009A1C86"/>
    <w:rsid w:val="009B28A4"/>
    <w:rsid w:val="009B7504"/>
    <w:rsid w:val="009D5E0F"/>
    <w:rsid w:val="009F1D47"/>
    <w:rsid w:val="009F34B2"/>
    <w:rsid w:val="00A00F56"/>
    <w:rsid w:val="00A17E5F"/>
    <w:rsid w:val="00A32B79"/>
    <w:rsid w:val="00A34064"/>
    <w:rsid w:val="00A36CED"/>
    <w:rsid w:val="00A61070"/>
    <w:rsid w:val="00A64BC2"/>
    <w:rsid w:val="00A90858"/>
    <w:rsid w:val="00A925DF"/>
    <w:rsid w:val="00A95295"/>
    <w:rsid w:val="00AA7651"/>
    <w:rsid w:val="00AB793E"/>
    <w:rsid w:val="00AE1585"/>
    <w:rsid w:val="00AE2D81"/>
    <w:rsid w:val="00AE6B5C"/>
    <w:rsid w:val="00AF21FA"/>
    <w:rsid w:val="00AF514F"/>
    <w:rsid w:val="00B25949"/>
    <w:rsid w:val="00B327C5"/>
    <w:rsid w:val="00B44C90"/>
    <w:rsid w:val="00B45A0D"/>
    <w:rsid w:val="00B54B16"/>
    <w:rsid w:val="00B60BE0"/>
    <w:rsid w:val="00B632DF"/>
    <w:rsid w:val="00B80193"/>
    <w:rsid w:val="00BA5765"/>
    <w:rsid w:val="00BB425C"/>
    <w:rsid w:val="00BB5032"/>
    <w:rsid w:val="00BC40AD"/>
    <w:rsid w:val="00BF5954"/>
    <w:rsid w:val="00BF69C5"/>
    <w:rsid w:val="00C0123E"/>
    <w:rsid w:val="00C05191"/>
    <w:rsid w:val="00C05F79"/>
    <w:rsid w:val="00C15EC7"/>
    <w:rsid w:val="00C23923"/>
    <w:rsid w:val="00C72434"/>
    <w:rsid w:val="00C767CD"/>
    <w:rsid w:val="00C777C6"/>
    <w:rsid w:val="00C8216B"/>
    <w:rsid w:val="00CA223D"/>
    <w:rsid w:val="00CB5782"/>
    <w:rsid w:val="00CE68AE"/>
    <w:rsid w:val="00D01BCE"/>
    <w:rsid w:val="00D04335"/>
    <w:rsid w:val="00D10F24"/>
    <w:rsid w:val="00D308D2"/>
    <w:rsid w:val="00D33813"/>
    <w:rsid w:val="00D35A6E"/>
    <w:rsid w:val="00D44C75"/>
    <w:rsid w:val="00D51172"/>
    <w:rsid w:val="00D735F3"/>
    <w:rsid w:val="00D75957"/>
    <w:rsid w:val="00D86AFF"/>
    <w:rsid w:val="00D91B8D"/>
    <w:rsid w:val="00DA08CD"/>
    <w:rsid w:val="00DA6CCF"/>
    <w:rsid w:val="00DB050B"/>
    <w:rsid w:val="00DB344F"/>
    <w:rsid w:val="00DB5849"/>
    <w:rsid w:val="00DB7B02"/>
    <w:rsid w:val="00DE06D1"/>
    <w:rsid w:val="00DE1E0F"/>
    <w:rsid w:val="00DF3424"/>
    <w:rsid w:val="00E0729D"/>
    <w:rsid w:val="00E3454D"/>
    <w:rsid w:val="00E4309B"/>
    <w:rsid w:val="00E43655"/>
    <w:rsid w:val="00E6216C"/>
    <w:rsid w:val="00E72B44"/>
    <w:rsid w:val="00E82E9D"/>
    <w:rsid w:val="00E90F2E"/>
    <w:rsid w:val="00EA1C23"/>
    <w:rsid w:val="00EB6710"/>
    <w:rsid w:val="00EC69D0"/>
    <w:rsid w:val="00ED0271"/>
    <w:rsid w:val="00ED493A"/>
    <w:rsid w:val="00EE4B28"/>
    <w:rsid w:val="00EE586B"/>
    <w:rsid w:val="00EE7342"/>
    <w:rsid w:val="00EF6F69"/>
    <w:rsid w:val="00F064E9"/>
    <w:rsid w:val="00F12770"/>
    <w:rsid w:val="00F13FA1"/>
    <w:rsid w:val="00F2425E"/>
    <w:rsid w:val="00F3527C"/>
    <w:rsid w:val="00F42977"/>
    <w:rsid w:val="00F472D3"/>
    <w:rsid w:val="00F54CC9"/>
    <w:rsid w:val="00F743B3"/>
    <w:rsid w:val="00F80584"/>
    <w:rsid w:val="00F87400"/>
    <w:rsid w:val="00FC500F"/>
    <w:rsid w:val="00FC676D"/>
    <w:rsid w:val="00FE0A68"/>
    <w:rsid w:val="00FE1535"/>
    <w:rsid w:val="00FF653B"/>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FA89D"/>
  <w15:chartTrackingRefBased/>
  <w15:docId w15:val="{5D915E89-261D-48F9-967A-AEE95D4B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44F"/>
  </w:style>
  <w:style w:type="paragraph" w:styleId="Heading1">
    <w:name w:val="heading 1"/>
    <w:basedOn w:val="Normal"/>
    <w:next w:val="Normal"/>
    <w:link w:val="Heading1Char"/>
    <w:uiPriority w:val="9"/>
    <w:qFormat/>
    <w:rsid w:val="00F472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3C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4F50"/>
    <w:pPr>
      <w:spacing w:after="0" w:line="240" w:lineRule="auto"/>
    </w:pPr>
  </w:style>
  <w:style w:type="paragraph" w:styleId="ListParagraph">
    <w:name w:val="List Paragraph"/>
    <w:basedOn w:val="Normal"/>
    <w:uiPriority w:val="34"/>
    <w:qFormat/>
    <w:rsid w:val="005D25D1"/>
    <w:pPr>
      <w:ind w:left="720"/>
      <w:contextualSpacing/>
    </w:pPr>
  </w:style>
  <w:style w:type="paragraph" w:styleId="Header">
    <w:name w:val="header"/>
    <w:basedOn w:val="Normal"/>
    <w:link w:val="HeaderChar"/>
    <w:uiPriority w:val="99"/>
    <w:unhideWhenUsed/>
    <w:rsid w:val="00235660"/>
    <w:pPr>
      <w:tabs>
        <w:tab w:val="center" w:pos="4536"/>
        <w:tab w:val="right" w:pos="9072"/>
      </w:tabs>
      <w:spacing w:after="0" w:line="240" w:lineRule="auto"/>
    </w:pPr>
  </w:style>
  <w:style w:type="character" w:customStyle="1" w:styleId="HeaderChar">
    <w:name w:val="Header Char"/>
    <w:basedOn w:val="DefaultParagraphFont"/>
    <w:link w:val="Header"/>
    <w:uiPriority w:val="99"/>
    <w:rsid w:val="00235660"/>
  </w:style>
  <w:style w:type="paragraph" w:styleId="Footer">
    <w:name w:val="footer"/>
    <w:basedOn w:val="Normal"/>
    <w:link w:val="FooterChar"/>
    <w:uiPriority w:val="99"/>
    <w:unhideWhenUsed/>
    <w:rsid w:val="0023566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35660"/>
  </w:style>
  <w:style w:type="character" w:styleId="Hyperlink">
    <w:name w:val="Hyperlink"/>
    <w:basedOn w:val="DefaultParagraphFont"/>
    <w:uiPriority w:val="99"/>
    <w:unhideWhenUsed/>
    <w:rsid w:val="004106CD"/>
    <w:rPr>
      <w:color w:val="0563C1" w:themeColor="hyperlink"/>
      <w:u w:val="single"/>
    </w:rPr>
  </w:style>
  <w:style w:type="character" w:customStyle="1" w:styleId="UnresolvedMention1">
    <w:name w:val="Unresolved Mention1"/>
    <w:basedOn w:val="DefaultParagraphFont"/>
    <w:uiPriority w:val="99"/>
    <w:semiHidden/>
    <w:unhideWhenUsed/>
    <w:rsid w:val="004106CD"/>
    <w:rPr>
      <w:color w:val="605E5C"/>
      <w:shd w:val="clear" w:color="auto" w:fill="E1DFDD"/>
    </w:rPr>
  </w:style>
  <w:style w:type="character" w:styleId="CommentReference">
    <w:name w:val="annotation reference"/>
    <w:basedOn w:val="DefaultParagraphFont"/>
    <w:uiPriority w:val="99"/>
    <w:semiHidden/>
    <w:unhideWhenUsed/>
    <w:rsid w:val="00926145"/>
    <w:rPr>
      <w:sz w:val="16"/>
      <w:szCs w:val="16"/>
    </w:rPr>
  </w:style>
  <w:style w:type="paragraph" w:styleId="CommentText">
    <w:name w:val="annotation text"/>
    <w:basedOn w:val="Normal"/>
    <w:link w:val="CommentTextChar"/>
    <w:uiPriority w:val="99"/>
    <w:semiHidden/>
    <w:unhideWhenUsed/>
    <w:rsid w:val="00926145"/>
    <w:pPr>
      <w:spacing w:line="240" w:lineRule="auto"/>
    </w:pPr>
    <w:rPr>
      <w:sz w:val="20"/>
      <w:szCs w:val="20"/>
    </w:rPr>
  </w:style>
  <w:style w:type="character" w:customStyle="1" w:styleId="CommentTextChar">
    <w:name w:val="Comment Text Char"/>
    <w:basedOn w:val="DefaultParagraphFont"/>
    <w:link w:val="CommentText"/>
    <w:uiPriority w:val="99"/>
    <w:semiHidden/>
    <w:rsid w:val="00926145"/>
    <w:rPr>
      <w:sz w:val="20"/>
      <w:szCs w:val="20"/>
    </w:rPr>
  </w:style>
  <w:style w:type="paragraph" w:styleId="CommentSubject">
    <w:name w:val="annotation subject"/>
    <w:basedOn w:val="CommentText"/>
    <w:next w:val="CommentText"/>
    <w:link w:val="CommentSubjectChar"/>
    <w:uiPriority w:val="99"/>
    <w:semiHidden/>
    <w:unhideWhenUsed/>
    <w:rsid w:val="00926145"/>
    <w:rPr>
      <w:b/>
      <w:bCs/>
    </w:rPr>
  </w:style>
  <w:style w:type="character" w:customStyle="1" w:styleId="CommentSubjectChar">
    <w:name w:val="Comment Subject Char"/>
    <w:basedOn w:val="CommentTextChar"/>
    <w:link w:val="CommentSubject"/>
    <w:uiPriority w:val="99"/>
    <w:semiHidden/>
    <w:rsid w:val="00926145"/>
    <w:rPr>
      <w:b/>
      <w:bCs/>
      <w:sz w:val="20"/>
      <w:szCs w:val="20"/>
    </w:rPr>
  </w:style>
  <w:style w:type="paragraph" w:styleId="BalloonText">
    <w:name w:val="Balloon Text"/>
    <w:basedOn w:val="Normal"/>
    <w:link w:val="BalloonTextChar"/>
    <w:uiPriority w:val="99"/>
    <w:semiHidden/>
    <w:unhideWhenUsed/>
    <w:rsid w:val="009261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145"/>
    <w:rPr>
      <w:rFonts w:ascii="Segoe UI" w:hAnsi="Segoe UI" w:cs="Segoe UI"/>
      <w:sz w:val="18"/>
      <w:szCs w:val="18"/>
    </w:rPr>
  </w:style>
  <w:style w:type="paragraph" w:styleId="FootnoteText">
    <w:name w:val="footnote text"/>
    <w:basedOn w:val="Normal"/>
    <w:link w:val="FootnoteTextChar"/>
    <w:uiPriority w:val="99"/>
    <w:semiHidden/>
    <w:unhideWhenUsed/>
    <w:rsid w:val="00E72B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2B44"/>
    <w:rPr>
      <w:sz w:val="20"/>
      <w:szCs w:val="20"/>
    </w:rPr>
  </w:style>
  <w:style w:type="character" w:styleId="FootnoteReference">
    <w:name w:val="footnote reference"/>
    <w:basedOn w:val="DefaultParagraphFont"/>
    <w:uiPriority w:val="99"/>
    <w:semiHidden/>
    <w:unhideWhenUsed/>
    <w:rsid w:val="00E72B44"/>
    <w:rPr>
      <w:vertAlign w:val="superscript"/>
    </w:rPr>
  </w:style>
  <w:style w:type="character" w:styleId="FollowedHyperlink">
    <w:name w:val="FollowedHyperlink"/>
    <w:basedOn w:val="DefaultParagraphFont"/>
    <w:uiPriority w:val="99"/>
    <w:semiHidden/>
    <w:unhideWhenUsed/>
    <w:rsid w:val="00A34064"/>
    <w:rPr>
      <w:color w:val="954F72" w:themeColor="followedHyperlink"/>
      <w:u w:val="single"/>
    </w:rPr>
  </w:style>
  <w:style w:type="character" w:styleId="UnresolvedMention">
    <w:name w:val="Unresolved Mention"/>
    <w:basedOn w:val="DefaultParagraphFont"/>
    <w:uiPriority w:val="99"/>
    <w:semiHidden/>
    <w:unhideWhenUsed/>
    <w:rsid w:val="00C23923"/>
    <w:rPr>
      <w:color w:val="605E5C"/>
      <w:shd w:val="clear" w:color="auto" w:fill="E1DFDD"/>
    </w:rPr>
  </w:style>
  <w:style w:type="character" w:customStyle="1" w:styleId="Heading1Char">
    <w:name w:val="Heading 1 Char"/>
    <w:basedOn w:val="DefaultParagraphFont"/>
    <w:link w:val="Heading1"/>
    <w:uiPriority w:val="9"/>
    <w:rsid w:val="00F472D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03C10"/>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9F1D47"/>
    <w:pPr>
      <w:outlineLvl w:val="9"/>
    </w:pPr>
    <w:rPr>
      <w:lang w:val="en-US"/>
    </w:rPr>
  </w:style>
  <w:style w:type="paragraph" w:styleId="TOC1">
    <w:name w:val="toc 1"/>
    <w:basedOn w:val="Normal"/>
    <w:next w:val="Normal"/>
    <w:autoRedefine/>
    <w:uiPriority w:val="39"/>
    <w:unhideWhenUsed/>
    <w:rsid w:val="00791445"/>
    <w:pPr>
      <w:tabs>
        <w:tab w:val="left" w:pos="440"/>
        <w:tab w:val="right" w:leader="dot" w:pos="9062"/>
      </w:tabs>
      <w:spacing w:after="0" w:line="240" w:lineRule="auto"/>
    </w:pPr>
  </w:style>
  <w:style w:type="paragraph" w:styleId="TOC2">
    <w:name w:val="toc 2"/>
    <w:basedOn w:val="Normal"/>
    <w:next w:val="Normal"/>
    <w:autoRedefine/>
    <w:uiPriority w:val="39"/>
    <w:unhideWhenUsed/>
    <w:rsid w:val="009F1D4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610927">
      <w:bodyDiv w:val="1"/>
      <w:marLeft w:val="0"/>
      <w:marRight w:val="0"/>
      <w:marTop w:val="0"/>
      <w:marBottom w:val="0"/>
      <w:divBdr>
        <w:top w:val="none" w:sz="0" w:space="0" w:color="auto"/>
        <w:left w:val="none" w:sz="0" w:space="0" w:color="auto"/>
        <w:bottom w:val="none" w:sz="0" w:space="0" w:color="auto"/>
        <w:right w:val="none" w:sz="0" w:space="0" w:color="auto"/>
      </w:divBdr>
      <w:divsChild>
        <w:div w:id="2089301811">
          <w:marLeft w:val="0"/>
          <w:marRight w:val="0"/>
          <w:marTop w:val="0"/>
          <w:marBottom w:val="0"/>
          <w:divBdr>
            <w:top w:val="none" w:sz="0" w:space="0" w:color="auto"/>
            <w:left w:val="none" w:sz="0" w:space="0" w:color="auto"/>
            <w:bottom w:val="none" w:sz="0" w:space="0" w:color="auto"/>
            <w:right w:val="none" w:sz="0" w:space="0" w:color="auto"/>
          </w:divBdr>
        </w:div>
        <w:div w:id="1012682272">
          <w:marLeft w:val="0"/>
          <w:marRight w:val="0"/>
          <w:marTop w:val="0"/>
          <w:marBottom w:val="0"/>
          <w:divBdr>
            <w:top w:val="none" w:sz="0" w:space="0" w:color="auto"/>
            <w:left w:val="none" w:sz="0" w:space="0" w:color="auto"/>
            <w:bottom w:val="none" w:sz="0" w:space="0" w:color="auto"/>
            <w:right w:val="none" w:sz="0" w:space="0" w:color="auto"/>
          </w:divBdr>
        </w:div>
        <w:div w:id="1162696052">
          <w:marLeft w:val="0"/>
          <w:marRight w:val="0"/>
          <w:marTop w:val="0"/>
          <w:marBottom w:val="0"/>
          <w:divBdr>
            <w:top w:val="none" w:sz="0" w:space="0" w:color="auto"/>
            <w:left w:val="none" w:sz="0" w:space="0" w:color="auto"/>
            <w:bottom w:val="none" w:sz="0" w:space="0" w:color="auto"/>
            <w:right w:val="none" w:sz="0" w:space="0" w:color="auto"/>
          </w:divBdr>
        </w:div>
        <w:div w:id="1548764636">
          <w:marLeft w:val="0"/>
          <w:marRight w:val="0"/>
          <w:marTop w:val="0"/>
          <w:marBottom w:val="0"/>
          <w:divBdr>
            <w:top w:val="none" w:sz="0" w:space="0" w:color="auto"/>
            <w:left w:val="none" w:sz="0" w:space="0" w:color="auto"/>
            <w:bottom w:val="none" w:sz="0" w:space="0" w:color="auto"/>
            <w:right w:val="none" w:sz="0" w:space="0" w:color="auto"/>
          </w:divBdr>
        </w:div>
        <w:div w:id="834300373">
          <w:marLeft w:val="0"/>
          <w:marRight w:val="0"/>
          <w:marTop w:val="0"/>
          <w:marBottom w:val="0"/>
          <w:divBdr>
            <w:top w:val="none" w:sz="0" w:space="0" w:color="auto"/>
            <w:left w:val="none" w:sz="0" w:space="0" w:color="auto"/>
            <w:bottom w:val="none" w:sz="0" w:space="0" w:color="auto"/>
            <w:right w:val="none" w:sz="0" w:space="0" w:color="auto"/>
          </w:divBdr>
        </w:div>
        <w:div w:id="789206601">
          <w:marLeft w:val="0"/>
          <w:marRight w:val="0"/>
          <w:marTop w:val="0"/>
          <w:marBottom w:val="0"/>
          <w:divBdr>
            <w:top w:val="none" w:sz="0" w:space="0" w:color="auto"/>
            <w:left w:val="none" w:sz="0" w:space="0" w:color="auto"/>
            <w:bottom w:val="none" w:sz="0" w:space="0" w:color="auto"/>
            <w:right w:val="none" w:sz="0" w:space="0" w:color="auto"/>
          </w:divBdr>
        </w:div>
        <w:div w:id="1212694296">
          <w:marLeft w:val="0"/>
          <w:marRight w:val="0"/>
          <w:marTop w:val="0"/>
          <w:marBottom w:val="0"/>
          <w:divBdr>
            <w:top w:val="none" w:sz="0" w:space="0" w:color="auto"/>
            <w:left w:val="none" w:sz="0" w:space="0" w:color="auto"/>
            <w:bottom w:val="none" w:sz="0" w:space="0" w:color="auto"/>
            <w:right w:val="none" w:sz="0" w:space="0" w:color="auto"/>
          </w:divBdr>
        </w:div>
        <w:div w:id="186916549">
          <w:marLeft w:val="0"/>
          <w:marRight w:val="0"/>
          <w:marTop w:val="0"/>
          <w:marBottom w:val="0"/>
          <w:divBdr>
            <w:top w:val="none" w:sz="0" w:space="0" w:color="auto"/>
            <w:left w:val="none" w:sz="0" w:space="0" w:color="auto"/>
            <w:bottom w:val="none" w:sz="0" w:space="0" w:color="auto"/>
            <w:right w:val="none" w:sz="0" w:space="0" w:color="auto"/>
          </w:divBdr>
        </w:div>
        <w:div w:id="96483851">
          <w:marLeft w:val="0"/>
          <w:marRight w:val="0"/>
          <w:marTop w:val="0"/>
          <w:marBottom w:val="0"/>
          <w:divBdr>
            <w:top w:val="none" w:sz="0" w:space="0" w:color="auto"/>
            <w:left w:val="none" w:sz="0" w:space="0" w:color="auto"/>
            <w:bottom w:val="none" w:sz="0" w:space="0" w:color="auto"/>
            <w:right w:val="none" w:sz="0" w:space="0" w:color="auto"/>
          </w:divBdr>
        </w:div>
        <w:div w:id="1176385210">
          <w:marLeft w:val="0"/>
          <w:marRight w:val="0"/>
          <w:marTop w:val="0"/>
          <w:marBottom w:val="0"/>
          <w:divBdr>
            <w:top w:val="none" w:sz="0" w:space="0" w:color="auto"/>
            <w:left w:val="none" w:sz="0" w:space="0" w:color="auto"/>
            <w:bottom w:val="none" w:sz="0" w:space="0" w:color="auto"/>
            <w:right w:val="none" w:sz="0" w:space="0" w:color="auto"/>
          </w:divBdr>
        </w:div>
        <w:div w:id="125315563">
          <w:marLeft w:val="0"/>
          <w:marRight w:val="0"/>
          <w:marTop w:val="0"/>
          <w:marBottom w:val="0"/>
          <w:divBdr>
            <w:top w:val="none" w:sz="0" w:space="0" w:color="auto"/>
            <w:left w:val="none" w:sz="0" w:space="0" w:color="auto"/>
            <w:bottom w:val="none" w:sz="0" w:space="0" w:color="auto"/>
            <w:right w:val="none" w:sz="0" w:space="0" w:color="auto"/>
          </w:divBdr>
        </w:div>
        <w:div w:id="824317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placement.iom.int/dtm-partners-toolkit/predictable-approach"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isplacement.iom.int/sites/default/files/public/tools/Do_No_Harm_ChecklistandGuidingQuestionsforDTMandPartners.docx" TargetMode="External"/><Relationship Id="rId4" Type="http://schemas.openxmlformats.org/officeDocument/2006/relationships/settings" Target="settings.xml"/><Relationship Id="rId9" Type="http://schemas.openxmlformats.org/officeDocument/2006/relationships/hyperlink" Target="https://displacement.iom.int/dtm-partners-toolkit/predictable-approach"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displacement.iom.int/dtm-partners-toolkit/field-companion-pdf" TargetMode="External"/><Relationship Id="rId2" Type="http://schemas.openxmlformats.org/officeDocument/2006/relationships/hyperlink" Target="https://displacement.iom.int/dtm-partners-toolkit/field-companion-excel" TargetMode="External"/><Relationship Id="rId1" Type="http://schemas.openxmlformats.org/officeDocument/2006/relationships/hyperlink" Target="https://displacement.iom.int/" TargetMode="External"/><Relationship Id="rId6" Type="http://schemas.openxmlformats.org/officeDocument/2006/relationships/hyperlink" Target="https://gbvguidelines.org/wp/wp-content/uploads/2015/09/2015-IASC-Gender-based-Violence-Guidelines_lo-res.pdf" TargetMode="External"/><Relationship Id="rId5" Type="http://schemas.openxmlformats.org/officeDocument/2006/relationships/hyperlink" Target="https://displacement.iom.int/dtm-partners-toolkit/gbv" TargetMode="External"/><Relationship Id="rId4" Type="http://schemas.openxmlformats.org/officeDocument/2006/relationships/hyperlink" Target="https://displacement.iom.int/dtm-partners-toolkit/sectoral-questions-location-assessmen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C7F25-4928-4694-AE82-A51600828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2614</Words>
  <Characters>14904</Characters>
  <Application>Microsoft Office Word</Application>
  <DocSecurity>0</DocSecurity>
  <Lines>124</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Fray van Herk</dc:creator>
  <cp:keywords/>
  <dc:description/>
  <cp:lastModifiedBy>PAVONE Daunia</cp:lastModifiedBy>
  <cp:revision>67</cp:revision>
  <dcterms:created xsi:type="dcterms:W3CDTF">2022-06-14T08:39:00Z</dcterms:created>
  <dcterms:modified xsi:type="dcterms:W3CDTF">2022-09-06T09:09:00Z</dcterms:modified>
</cp:coreProperties>
</file>