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DBDC" w14:textId="36EB1B2E" w:rsidR="00354F50" w:rsidRPr="00986EA4" w:rsidRDefault="00B45A0D" w:rsidP="00B54B16">
      <w:pPr>
        <w:pStyle w:val="NoSpacing"/>
        <w:numPr>
          <w:ilvl w:val="0"/>
          <w:numId w:val="21"/>
        </w:numPr>
        <w:jc w:val="both"/>
        <w:rPr>
          <w:rFonts w:ascii="Tw Cen MT" w:hAnsi="Tw Cen MT" w:cs="Arial"/>
          <w:i/>
          <w:sz w:val="28"/>
          <w:u w:val="single"/>
        </w:rPr>
      </w:pPr>
      <w:proofErr w:type="spellStart"/>
      <w:r>
        <w:rPr>
          <w:rFonts w:ascii="Tw Cen MT" w:hAnsi="Tw Cen MT"/>
          <w:i/>
          <w:sz w:val="28"/>
          <w:u w:val="single"/>
        </w:rPr>
        <w:t>Quʼest</w:t>
      </w:r>
      <w:proofErr w:type="spellEnd"/>
      <w:r>
        <w:rPr>
          <w:rFonts w:ascii="Tw Cen MT" w:hAnsi="Tw Cen MT"/>
          <w:i/>
          <w:sz w:val="28"/>
          <w:u w:val="single"/>
        </w:rPr>
        <w:t>-ce que la matrice de suivi des déplacements ?</w:t>
      </w:r>
    </w:p>
    <w:p w14:paraId="7CDB8FAA" w14:textId="26E05510" w:rsidR="00354F50" w:rsidRPr="008F0328" w:rsidRDefault="00354F50" w:rsidP="0001540A">
      <w:pPr>
        <w:pStyle w:val="NoSpacing"/>
        <w:jc w:val="both"/>
        <w:rPr>
          <w:rFonts w:ascii="Tw Cen MT" w:hAnsi="Tw Cen MT" w:cstheme="majorHAnsi"/>
          <w:sz w:val="20"/>
          <w:szCs w:val="20"/>
        </w:rPr>
      </w:pPr>
      <w:r>
        <w:rPr>
          <w:rFonts w:ascii="Tw Cen MT" w:hAnsi="Tw Cen MT"/>
          <w:sz w:val="20"/>
        </w:rPr>
        <w:t xml:space="preserve">La matrice de suivi des déplacements (DTM en anglais) est un ensemble </w:t>
      </w:r>
      <w:proofErr w:type="spellStart"/>
      <w:r>
        <w:rPr>
          <w:rFonts w:ascii="Tw Cen MT" w:hAnsi="Tw Cen MT"/>
          <w:sz w:val="20"/>
        </w:rPr>
        <w:t>dʼoutils</w:t>
      </w:r>
      <w:proofErr w:type="spellEnd"/>
      <w:r>
        <w:rPr>
          <w:rFonts w:ascii="Tw Cen MT" w:hAnsi="Tw Cen MT"/>
          <w:sz w:val="20"/>
        </w:rPr>
        <w:t xml:space="preserve"> </w:t>
      </w:r>
      <w:proofErr w:type="spellStart"/>
      <w:r>
        <w:rPr>
          <w:rFonts w:ascii="Tw Cen MT" w:hAnsi="Tw Cen MT"/>
          <w:sz w:val="20"/>
        </w:rPr>
        <w:t>dʼévaluation</w:t>
      </w:r>
      <w:proofErr w:type="spellEnd"/>
      <w:r>
        <w:rPr>
          <w:rFonts w:ascii="Tw Cen MT" w:hAnsi="Tw Cen MT"/>
          <w:sz w:val="20"/>
        </w:rPr>
        <w:t xml:space="preserve"> et de suivi des mouvements de population élaborés par </w:t>
      </w:r>
      <w:proofErr w:type="spellStart"/>
      <w:r>
        <w:rPr>
          <w:rFonts w:ascii="Tw Cen MT" w:hAnsi="Tw Cen MT"/>
          <w:sz w:val="20"/>
        </w:rPr>
        <w:t>lʼOIM</w:t>
      </w:r>
      <w:proofErr w:type="spellEnd"/>
      <w:r>
        <w:rPr>
          <w:rFonts w:ascii="Tw Cen MT" w:hAnsi="Tw Cen MT"/>
          <w:sz w:val="20"/>
        </w:rPr>
        <w:t xml:space="preserve">. Parmi les outils qui peuvent être mis en œuvre dans un contexte de déplacement, citons le suivi des déplacements, le suivi des flux, les enquêtes et </w:t>
      </w:r>
      <w:proofErr w:type="spellStart"/>
      <w:r>
        <w:rPr>
          <w:rFonts w:ascii="Tw Cen MT" w:hAnsi="Tw Cen MT"/>
          <w:sz w:val="20"/>
        </w:rPr>
        <w:t>lʼenregistrement</w:t>
      </w:r>
      <w:proofErr w:type="spellEnd"/>
      <w:r>
        <w:rPr>
          <w:rFonts w:ascii="Tw Cen MT" w:hAnsi="Tw Cen MT"/>
          <w:sz w:val="20"/>
        </w:rPr>
        <w:t xml:space="preserve">. La capture des déplacements, des flux et des besoins </w:t>
      </w:r>
      <w:proofErr w:type="spellStart"/>
      <w:r>
        <w:rPr>
          <w:rFonts w:ascii="Tw Cen MT" w:hAnsi="Tw Cen MT"/>
          <w:sz w:val="20"/>
        </w:rPr>
        <w:t>dʼune</w:t>
      </w:r>
      <w:proofErr w:type="spellEnd"/>
      <w:r>
        <w:rPr>
          <w:rFonts w:ascii="Tw Cen MT" w:hAnsi="Tw Cen MT"/>
          <w:sz w:val="20"/>
        </w:rPr>
        <w:t xml:space="preserve"> population fournit des informations utiles qui peuvent aider les décideurs. Ce guide se réfère spécifiquement à </w:t>
      </w:r>
      <w:proofErr w:type="spellStart"/>
      <w:r>
        <w:rPr>
          <w:rFonts w:ascii="Tw Cen MT" w:hAnsi="Tw Cen MT"/>
          <w:sz w:val="20"/>
        </w:rPr>
        <w:t>lʼévaluation</w:t>
      </w:r>
      <w:proofErr w:type="spellEnd"/>
      <w:r>
        <w:rPr>
          <w:rFonts w:ascii="Tw Cen MT" w:hAnsi="Tw Cen MT"/>
          <w:sz w:val="20"/>
        </w:rPr>
        <w:t xml:space="preserve"> multisectorielle de site DTM (EMS DTM).</w:t>
      </w:r>
    </w:p>
    <w:p w14:paraId="0E2359A2" w14:textId="77777777" w:rsidR="0001540A" w:rsidRPr="006F16B3" w:rsidRDefault="0001540A" w:rsidP="0001540A">
      <w:pPr>
        <w:pStyle w:val="NoSpacing"/>
        <w:jc w:val="both"/>
        <w:rPr>
          <w:rFonts w:asciiTheme="majorHAnsi" w:hAnsiTheme="majorHAnsi" w:cstheme="majorHAnsi"/>
          <w:sz w:val="20"/>
          <w:szCs w:val="20"/>
        </w:rPr>
      </w:pPr>
    </w:p>
    <w:p w14:paraId="7D324C7A" w14:textId="56A59FC2" w:rsidR="0001540A" w:rsidRPr="00846E38" w:rsidRDefault="0001540A" w:rsidP="0001540A">
      <w:pPr>
        <w:pStyle w:val="NoSpacing"/>
        <w:jc w:val="both"/>
        <w:rPr>
          <w:rFonts w:ascii="Tw Cen MT" w:hAnsi="Tw Cen MT"/>
          <w:b/>
          <w:bCs/>
          <w:sz w:val="24"/>
        </w:rPr>
      </w:pPr>
      <w:proofErr w:type="spellStart"/>
      <w:r w:rsidRPr="00846E38">
        <w:rPr>
          <w:rFonts w:ascii="Tw Cen MT" w:hAnsi="Tw Cen MT"/>
          <w:b/>
          <w:bCs/>
          <w:sz w:val="24"/>
        </w:rPr>
        <w:t>L</w:t>
      </w:r>
      <w:r w:rsidRPr="00846E38">
        <w:rPr>
          <w:rFonts w:ascii="Arial" w:hAnsi="Arial" w:cs="Arial"/>
          <w:b/>
          <w:bCs/>
          <w:sz w:val="24"/>
        </w:rPr>
        <w:t>ʼ</w:t>
      </w:r>
      <w:r w:rsidRPr="00846E38">
        <w:rPr>
          <w:rFonts w:ascii="Tw Cen MT" w:hAnsi="Tw Cen MT" w:cs="Tw Cen MT"/>
          <w:b/>
          <w:bCs/>
          <w:sz w:val="24"/>
        </w:rPr>
        <w:t>é</w:t>
      </w:r>
      <w:r w:rsidRPr="00846E38">
        <w:rPr>
          <w:rFonts w:ascii="Tw Cen MT" w:hAnsi="Tw Cen MT"/>
          <w:b/>
          <w:bCs/>
          <w:sz w:val="24"/>
        </w:rPr>
        <w:t>valuation</w:t>
      </w:r>
      <w:proofErr w:type="spellEnd"/>
      <w:r w:rsidRPr="00846E38">
        <w:rPr>
          <w:rFonts w:ascii="Tw Cen MT" w:hAnsi="Tw Cen MT"/>
          <w:b/>
          <w:bCs/>
          <w:sz w:val="24"/>
        </w:rPr>
        <w:t xml:space="preserve"> multisectorielle de site</w:t>
      </w:r>
    </w:p>
    <w:p w14:paraId="0DACE01B" w14:textId="347CBDC3" w:rsidR="00235660" w:rsidRPr="008F0328" w:rsidRDefault="0001540A" w:rsidP="0001540A">
      <w:pPr>
        <w:pStyle w:val="NoSpacing"/>
        <w:jc w:val="both"/>
        <w:rPr>
          <w:rFonts w:ascii="Tw Cen MT" w:hAnsi="Tw Cen MT" w:cstheme="majorHAnsi"/>
          <w:sz w:val="20"/>
          <w:szCs w:val="20"/>
        </w:rPr>
      </w:pPr>
      <w:proofErr w:type="spellStart"/>
      <w:r>
        <w:rPr>
          <w:rFonts w:ascii="Tw Cen MT" w:hAnsi="Tw Cen MT"/>
          <w:sz w:val="20"/>
        </w:rPr>
        <w:t>Lʼévaluation</w:t>
      </w:r>
      <w:proofErr w:type="spellEnd"/>
      <w:r>
        <w:rPr>
          <w:rFonts w:ascii="Tw Cen MT" w:hAnsi="Tw Cen MT"/>
          <w:sz w:val="20"/>
        </w:rPr>
        <w:t xml:space="preserve"> multisectorielle de site est </w:t>
      </w:r>
      <w:proofErr w:type="spellStart"/>
      <w:r>
        <w:rPr>
          <w:rFonts w:ascii="Tw Cen MT" w:hAnsi="Tw Cen MT"/>
          <w:sz w:val="20"/>
        </w:rPr>
        <w:t>lʼun</w:t>
      </w:r>
      <w:proofErr w:type="spellEnd"/>
      <w:r>
        <w:rPr>
          <w:rFonts w:ascii="Tw Cen MT" w:hAnsi="Tw Cen MT"/>
          <w:sz w:val="20"/>
        </w:rPr>
        <w:t xml:space="preserve"> des différents outils DTM et consiste en un questionnaire destiné à cerner les besoins de la population touchée. La DTM est un outil rapide, ce qui signifie qu'elle donne des résultats rapidement. De plus, elle est fréquemment mise en œuvre, parfois même sur une base mensuelle. Cela signifie que vous pouvez suivre les données dans le temps pour examiner les changements, et que vous pouvez compter sur une collecte régulière de données. Cependant, </w:t>
      </w:r>
      <w:proofErr w:type="spellStart"/>
      <w:r>
        <w:rPr>
          <w:rFonts w:ascii="Tw Cen MT" w:hAnsi="Tw Cen MT"/>
          <w:b/>
          <w:sz w:val="20"/>
        </w:rPr>
        <w:t>lʼévaluation</w:t>
      </w:r>
      <w:proofErr w:type="spellEnd"/>
      <w:r>
        <w:rPr>
          <w:rFonts w:ascii="Tw Cen MT" w:hAnsi="Tw Cen MT"/>
          <w:b/>
          <w:sz w:val="20"/>
        </w:rPr>
        <w:t xml:space="preserve"> multisectorielle de site ne suffit pas en tant </w:t>
      </w:r>
      <w:proofErr w:type="spellStart"/>
      <w:r>
        <w:rPr>
          <w:rFonts w:ascii="Tw Cen MT" w:hAnsi="Tw Cen MT"/>
          <w:b/>
          <w:sz w:val="20"/>
        </w:rPr>
        <w:t>quʼévaluation</w:t>
      </w:r>
      <w:proofErr w:type="spellEnd"/>
      <w:r>
        <w:rPr>
          <w:rFonts w:ascii="Tw Cen MT" w:hAnsi="Tw Cen MT"/>
          <w:b/>
          <w:sz w:val="20"/>
        </w:rPr>
        <w:t xml:space="preserve"> autonome et ne doit pas être considérée comme le SEUL outil pour la collecte de données sur la VBG. </w:t>
      </w:r>
    </w:p>
    <w:p w14:paraId="3C1E21FB" w14:textId="35A5D2FC" w:rsidR="00235660" w:rsidRDefault="006072C8" w:rsidP="0001540A">
      <w:pPr>
        <w:pStyle w:val="NoSpacing"/>
        <w:jc w:val="both"/>
        <w:rPr>
          <w:rFonts w:asciiTheme="majorHAnsi" w:hAnsiTheme="majorHAnsi" w:cstheme="majorHAnsi"/>
          <w:b/>
          <w:sz w:val="20"/>
          <w:szCs w:val="20"/>
        </w:rPr>
      </w:pPr>
      <w:r>
        <w:rPr>
          <w:rFonts w:ascii="Arial" w:hAnsi="Arial"/>
          <w:noProof/>
          <w:lang w:val="en-US" w:eastAsia="zh-CN"/>
        </w:rPr>
        <mc:AlternateContent>
          <mc:Choice Requires="wps">
            <w:drawing>
              <wp:anchor distT="0" distB="0" distL="114300" distR="114300" simplePos="0" relativeHeight="251665408" behindDoc="0" locked="0" layoutInCell="1" allowOverlap="1" wp14:anchorId="7AE56439" wp14:editId="414312FB">
                <wp:simplePos x="0" y="0"/>
                <wp:positionH relativeFrom="margin">
                  <wp:posOffset>211455</wp:posOffset>
                </wp:positionH>
                <wp:positionV relativeFrom="paragraph">
                  <wp:posOffset>121285</wp:posOffset>
                </wp:positionV>
                <wp:extent cx="5753100" cy="1409700"/>
                <wp:effectExtent l="0" t="0" r="19050" b="19050"/>
                <wp:wrapNone/>
                <wp:docPr id="7" name="Tekstvak 7"/>
                <wp:cNvGraphicFramePr/>
                <a:graphic xmlns:a="http://schemas.openxmlformats.org/drawingml/2006/main">
                  <a:graphicData uri="http://schemas.microsoft.com/office/word/2010/wordprocessingShape">
                    <wps:wsp>
                      <wps:cNvSpPr txBox="1"/>
                      <wps:spPr>
                        <a:xfrm>
                          <a:off x="0" y="0"/>
                          <a:ext cx="5753100" cy="1409700"/>
                        </a:xfrm>
                        <a:prstGeom prst="rect">
                          <a:avLst/>
                        </a:prstGeom>
                        <a:solidFill>
                          <a:schemeClr val="bg2"/>
                        </a:solidFill>
                        <a:ln w="6350">
                          <a:solidFill>
                            <a:schemeClr val="bg2"/>
                          </a:solidFill>
                        </a:ln>
                      </wps:spPr>
                      <wps:txbx>
                        <w:txbxContent>
                          <w:p w14:paraId="01B519F7" w14:textId="77777777" w:rsidR="003F6DE3" w:rsidRPr="00B54B16" w:rsidRDefault="003F6DE3" w:rsidP="00235660">
                            <w:pPr>
                              <w:pStyle w:val="NoSpacing"/>
                              <w:jc w:val="both"/>
                              <w:rPr>
                                <w:rFonts w:ascii="Tw Cen MT" w:hAnsi="Tw Cen MT" w:cstheme="majorHAnsi"/>
                                <w:i/>
                                <w:sz w:val="24"/>
                                <w:szCs w:val="20"/>
                              </w:rPr>
                            </w:pPr>
                            <w:r>
                              <w:rPr>
                                <w:rFonts w:ascii="Tw Cen MT" w:hAnsi="Tw Cen MT"/>
                                <w:i/>
                                <w:sz w:val="24"/>
                              </w:rPr>
                              <w:t xml:space="preserve">Pourquoi utiliser la DTM ? </w:t>
                            </w:r>
                          </w:p>
                          <w:p w14:paraId="501C7EFF" w14:textId="3088B982" w:rsidR="00235660" w:rsidRPr="00CB5782" w:rsidRDefault="00235660" w:rsidP="00235660">
                            <w:pPr>
                              <w:pStyle w:val="NoSpacing"/>
                              <w:jc w:val="both"/>
                              <w:rPr>
                                <w:rFonts w:ascii="Tw Cen MT" w:hAnsi="Tw Cen MT" w:cstheme="majorHAnsi"/>
                                <w:sz w:val="20"/>
                                <w:szCs w:val="20"/>
                              </w:rPr>
                            </w:pPr>
                            <w:r>
                              <w:rPr>
                                <w:rFonts w:ascii="Tw Cen MT" w:hAnsi="Tw Cen MT"/>
                                <w:sz w:val="20"/>
                              </w:rPr>
                              <w:t xml:space="preserve">La DTM est une évaluation multisectorielle </w:t>
                            </w:r>
                            <w:r>
                              <w:rPr>
                                <w:rFonts w:ascii="Tw Cen MT" w:hAnsi="Tw Cen MT"/>
                                <w:i/>
                                <w:sz w:val="20"/>
                              </w:rPr>
                              <w:t>rapide</w:t>
                            </w:r>
                            <w:r>
                              <w:rPr>
                                <w:rFonts w:ascii="Tw Cen MT" w:hAnsi="Tw Cen MT"/>
                                <w:sz w:val="20"/>
                              </w:rPr>
                              <w:t xml:space="preserve"> des besoins qui est effectuée régulièrement. Les données DTM doivent être utilisées comme une </w:t>
                            </w:r>
                            <w:r>
                              <w:rPr>
                                <w:rFonts w:ascii="Tw Cen MT" w:hAnsi="Tw Cen MT"/>
                                <w:b/>
                                <w:sz w:val="20"/>
                              </w:rPr>
                              <w:t>indication sur les éventuelles lacunes qui existent au sein des services de lutte contre la VBG et les risques potentiels de telles violences.</w:t>
                            </w:r>
                            <w:r>
                              <w:rPr>
                                <w:rFonts w:ascii="Tw Cen MT" w:hAnsi="Tw Cen MT"/>
                                <w:sz w:val="20"/>
                              </w:rPr>
                              <w:t xml:space="preserve"> La DTM doit être analysée pour examiner les tendances qui émergent des données et déterminer quels sont les besoins de protection et les risques de VBG. Pour dresser un tableau exhaustif, </w:t>
                            </w:r>
                            <w:proofErr w:type="spellStart"/>
                            <w:r>
                              <w:rPr>
                                <w:rFonts w:ascii="Tw Cen MT" w:hAnsi="Tw Cen MT"/>
                                <w:sz w:val="20"/>
                              </w:rPr>
                              <w:t>dʼautres</w:t>
                            </w:r>
                            <w:proofErr w:type="spellEnd"/>
                            <w:r>
                              <w:rPr>
                                <w:rFonts w:ascii="Tw Cen MT" w:hAnsi="Tw Cen MT"/>
                                <w:sz w:val="20"/>
                              </w:rPr>
                              <w:t xml:space="preserve"> informations relatives à la VBG ou à des évaluations spécialisées de celle-ci (par exemple, discussions de groupe, audits de sécurité, etc.) doivent être examinées pour compléter ces informations.</w:t>
                            </w:r>
                            <w:r>
                              <w:rPr>
                                <w:rFonts w:ascii="Tw Cen MT" w:hAnsi="Tw Cen MT"/>
                                <w:b/>
                                <w:sz w:val="20"/>
                              </w:rPr>
                              <w:t xml:space="preserve"> </w:t>
                            </w:r>
                            <w:r>
                              <w:rPr>
                                <w:rFonts w:ascii="Tw Cen MT" w:hAnsi="Tw Cen MT"/>
                                <w:b/>
                              </w:rPr>
                              <w:t>La DTM peut aider les acteurs de la lutte contre la VBG à identifier les sites et les problèmes qui nécessitent une évaluation approfondie ou repérer là où des évaluations spécialisées de suivi sont nécessaires. La DTM seule ne suffit pas pour avoir un aperçu complet de la situation de la VBG.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6439" id="_x0000_t202" coordsize="21600,21600" o:spt="202" path="m,l,21600r21600,l21600,xe">
                <v:stroke joinstyle="miter"/>
                <v:path gradientshapeok="t" o:connecttype="rect"/>
              </v:shapetype>
              <v:shape id="Tekstvak 7" o:spid="_x0000_s1026" type="#_x0000_t202" style="position:absolute;left:0;text-align:left;margin-left:16.65pt;margin-top:9.55pt;width:453pt;height:1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Z/MgIAAH0EAAAOAAAAZHJzL2Uyb0RvYy54bWysVN9v2jAQfp+0/8Hy+0hCoawRoWJUTJNQ&#10;W4lOfTaODZEcn2cbEvbX7+yEH+0mTZr2Yu58l893333H9L6tFTkI6yrQBc0GKSVCcygrvS3o95fl&#10;p8+UOM90yRRoUdCjcPR+9vHDtDG5GMIOVCksQRDt8sYUdOe9yZPE8Z2omRuAERqDEmzNPLp2m5SW&#10;NYheq2SYprdJA7Y0FrhwDm8fuiCdRXwpBfdPUjrhiSoo1ubjaeO5CWcym7J8a5nZVbwvg/1DFTWr&#10;ND56hnpgnpG9rX6DqituwYH0Aw51AlJWXMQesJssfdfNeseMiL0gOc6caXL/D5Y/Htbm2RLffoEW&#10;BxgIaYzLHV6Gflpp6/CLlRKMI4XHM22i9YTj5XgyvslSDHGMZaP0boIO4iSXz411/quAmgSjoBbn&#10;Eulih5XzXeopJbzmQFXlslIqOkELYqEsOTCc4mY77MHfZClNmoLe3ozTCPwmFtX0FwQsVmms+dJ8&#10;sHy7aXtGNlAekSgLnYac4csKm1kx55+ZRdEgAbgI/gkPqQCLgd6iZAf255/uQz7OEqOUNCjCgrof&#10;e2YFJeqbxinfZaNRUG10RuPJEB17HdlcR/S+XgAylOHKGR7NkO/VyZQW6lfcl3l4FUNMc3y7oP5k&#10;Lny3GrhvXMznMQl1aphf6bXhATpMJIzqpX1l1vTz9CiFRzjJleXvxtrlhi81zPceZBVnHgjuWO15&#10;R41H1fT7GJbo2o9Zl3+N2S8AAAD//wMAUEsDBBQABgAIAAAAIQCmyXTv3gAAAAkBAAAPAAAAZHJz&#10;L2Rvd25yZXYueG1sTI/NTsMwEITvSLyDtUjcqPODoibEqYCqSAj1QOABnHiJo/onit00vD3LCY47&#10;M5r9pt6t1rAF5zB6JyDdJMDQ9V6NbhDw+XG42wILUToljXco4BsD7Jrrq1pWyl/cOy5tHBiVuFBJ&#10;ATrGqeI89BqtDBs/oSPvy89WRjrngatZXqjcGp4lScGtHB190HLCZ439qT1bAa09da/523Iwx6LY&#10;LvtMv+zXJyFub9bHB2AR1/gXhl98QoeGmDp/diowIyDPc0qSXqbAyC/zkoROQHafpsCbmv9f0PwA&#10;AAD//wMAUEsBAi0AFAAGAAgAAAAhALaDOJL+AAAA4QEAABMAAAAAAAAAAAAAAAAAAAAAAFtDb250&#10;ZW50X1R5cGVzXS54bWxQSwECLQAUAAYACAAAACEAOP0h/9YAAACUAQAACwAAAAAAAAAAAAAAAAAv&#10;AQAAX3JlbHMvLnJlbHNQSwECLQAUAAYACAAAACEAEJ6mfzICAAB9BAAADgAAAAAAAAAAAAAAAAAu&#10;AgAAZHJzL2Uyb0RvYy54bWxQSwECLQAUAAYACAAAACEApsl0794AAAAJAQAADwAAAAAAAAAAAAAA&#10;AACMBAAAZHJzL2Rvd25yZXYueG1sUEsFBgAAAAAEAAQA8wAAAJcFAAAAAA==&#10;" fillcolor="#e7e6e6 [3214]" strokecolor="#e7e6e6 [3214]" strokeweight=".5pt">
                <v:textbox>
                  <w:txbxContent>
                    <w:p w14:paraId="01B519F7" w14:textId="77777777" w:rsidR="003F6DE3" w:rsidRPr="00B54B16" w:rsidRDefault="003F6DE3" w:rsidP="00235660">
                      <w:pPr>
                        <w:pStyle w:val="NoSpacing"/>
                        <w:jc w:val="both"/>
                        <w:rPr>
                          <w:rFonts w:ascii="Tw Cen MT" w:hAnsi="Tw Cen MT" w:cstheme="majorHAnsi"/>
                          <w:i/>
                          <w:sz w:val="24"/>
                          <w:szCs w:val="20"/>
                        </w:rPr>
                      </w:pPr>
                      <w:r>
                        <w:rPr>
                          <w:rFonts w:ascii="Tw Cen MT" w:hAnsi="Tw Cen MT"/>
                          <w:i/>
                          <w:sz w:val="24"/>
                        </w:rPr>
                        <w:t xml:space="preserve">Pourquoi utiliser la DTM ? </w:t>
                      </w:r>
                    </w:p>
                    <w:p w14:paraId="501C7EFF" w14:textId="3088B982" w:rsidR="00235660" w:rsidRPr="00CB5782" w:rsidRDefault="00235660" w:rsidP="00235660">
                      <w:pPr>
                        <w:pStyle w:val="NoSpacing"/>
                        <w:jc w:val="both"/>
                        <w:rPr>
                          <w:rFonts w:ascii="Tw Cen MT" w:hAnsi="Tw Cen MT" w:cstheme="majorHAnsi"/>
                          <w:sz w:val="20"/>
                          <w:szCs w:val="20"/>
                        </w:rPr>
                      </w:pPr>
                      <w:r>
                        <w:rPr>
                          <w:rFonts w:ascii="Tw Cen MT" w:hAnsi="Tw Cen MT"/>
                          <w:sz w:val="20"/>
                        </w:rPr>
                        <w:t xml:space="preserve">La DTM est une évaluation multisectorielle </w:t>
                      </w:r>
                      <w:r>
                        <w:rPr>
                          <w:rFonts w:ascii="Tw Cen MT" w:hAnsi="Tw Cen MT"/>
                          <w:i/>
                          <w:sz w:val="20"/>
                        </w:rPr>
                        <w:t>rapide</w:t>
                      </w:r>
                      <w:r>
                        <w:rPr>
                          <w:rFonts w:ascii="Tw Cen MT" w:hAnsi="Tw Cen MT"/>
                          <w:sz w:val="20"/>
                        </w:rPr>
                        <w:t xml:space="preserve"> des besoins qui est effectuée régulièrement. Les données DTM doivent être utilisées comme une </w:t>
                      </w:r>
                      <w:r>
                        <w:rPr>
                          <w:rFonts w:ascii="Tw Cen MT" w:hAnsi="Tw Cen MT"/>
                          <w:b/>
                          <w:sz w:val="20"/>
                        </w:rPr>
                        <w:t>indication sur les éventuelles lacunes qui existent au sein des services de lutte contre la VBG et les risques potentiels de telles violences.</w:t>
                      </w:r>
                      <w:r>
                        <w:rPr>
                          <w:rFonts w:ascii="Tw Cen MT" w:hAnsi="Tw Cen MT"/>
                          <w:sz w:val="20"/>
                        </w:rPr>
                        <w:t xml:space="preserve"> La DTM doit être analysée pour examiner les tendances qui émergent des données et déterminer quels sont les besoins de protection et les risques de VBG. Pour dresser un tableau exhaustif, </w:t>
                      </w:r>
                      <w:proofErr w:type="spellStart"/>
                      <w:r>
                        <w:rPr>
                          <w:rFonts w:ascii="Tw Cen MT" w:hAnsi="Tw Cen MT"/>
                          <w:sz w:val="20"/>
                        </w:rPr>
                        <w:t>dʼautres</w:t>
                      </w:r>
                      <w:proofErr w:type="spellEnd"/>
                      <w:r>
                        <w:rPr>
                          <w:rFonts w:ascii="Tw Cen MT" w:hAnsi="Tw Cen MT"/>
                          <w:sz w:val="20"/>
                        </w:rPr>
                        <w:t xml:space="preserve"> informations relatives à la VBG ou à des évaluations spécialisées de celle-ci (par exemple, discussions de groupe, audits de sécurité, etc.) doivent être examinées pour compléter ces informations.</w:t>
                      </w:r>
                      <w:r>
                        <w:rPr>
                          <w:rFonts w:ascii="Tw Cen MT" w:hAnsi="Tw Cen MT"/>
                          <w:b/>
                          <w:sz w:val="20"/>
                        </w:rPr>
                        <w:t xml:space="preserve"> </w:t>
                      </w:r>
                      <w:r>
                        <w:rPr>
                          <w:rFonts w:ascii="Tw Cen MT" w:hAnsi="Tw Cen MT"/>
                          <w:b/>
                        </w:rPr>
                        <w:t>La DTM peut aider les acteurs de la lutte contre la VBG à identifier les sites et les problèmes qui nécessitent une évaluation approfondie ou repérer là où des évaluations spécialisées de suivi sont nécessaires. La DTM seule ne suffit pas pour avoir un aperçu complet de la situation de la VBG.</w:t>
                      </w:r>
                    </w:p>
                  </w:txbxContent>
                </v:textbox>
                <w10:wrap anchorx="margin"/>
              </v:shape>
            </w:pict>
          </mc:Fallback>
        </mc:AlternateContent>
      </w:r>
    </w:p>
    <w:p w14:paraId="6B0A8089" w14:textId="7539635D" w:rsidR="00235660" w:rsidRPr="006F16B3" w:rsidRDefault="00235660" w:rsidP="0001540A">
      <w:pPr>
        <w:pStyle w:val="NoSpacing"/>
        <w:jc w:val="both"/>
        <w:rPr>
          <w:rFonts w:asciiTheme="majorHAnsi" w:hAnsiTheme="majorHAnsi" w:cstheme="majorHAnsi"/>
          <w:b/>
          <w:sz w:val="20"/>
          <w:szCs w:val="20"/>
        </w:rPr>
      </w:pPr>
    </w:p>
    <w:p w14:paraId="0CF1E642" w14:textId="77777777" w:rsidR="00235660" w:rsidRPr="006F16B3" w:rsidRDefault="00235660" w:rsidP="0001540A">
      <w:pPr>
        <w:pStyle w:val="NoSpacing"/>
        <w:jc w:val="both"/>
        <w:rPr>
          <w:rFonts w:asciiTheme="majorHAnsi" w:hAnsiTheme="majorHAnsi" w:cstheme="majorHAnsi"/>
          <w:sz w:val="20"/>
          <w:szCs w:val="20"/>
        </w:rPr>
      </w:pPr>
    </w:p>
    <w:p w14:paraId="371B2767" w14:textId="77777777" w:rsidR="00235660" w:rsidRPr="006F16B3" w:rsidRDefault="00235660" w:rsidP="0001540A">
      <w:pPr>
        <w:pStyle w:val="NoSpacing"/>
        <w:jc w:val="both"/>
        <w:rPr>
          <w:rFonts w:asciiTheme="majorHAnsi" w:hAnsiTheme="majorHAnsi" w:cstheme="majorHAnsi"/>
          <w:sz w:val="20"/>
          <w:szCs w:val="20"/>
        </w:rPr>
      </w:pPr>
    </w:p>
    <w:p w14:paraId="27C36174" w14:textId="77777777" w:rsidR="00235660" w:rsidRPr="006F16B3" w:rsidRDefault="00235660" w:rsidP="0001540A">
      <w:pPr>
        <w:pStyle w:val="NoSpacing"/>
        <w:jc w:val="both"/>
        <w:rPr>
          <w:rFonts w:asciiTheme="majorHAnsi" w:hAnsiTheme="majorHAnsi" w:cstheme="majorHAnsi"/>
          <w:sz w:val="20"/>
          <w:szCs w:val="20"/>
        </w:rPr>
      </w:pPr>
    </w:p>
    <w:p w14:paraId="0D7E5A1D" w14:textId="77777777" w:rsidR="00235660" w:rsidRPr="006F16B3" w:rsidRDefault="00235660" w:rsidP="0001540A">
      <w:pPr>
        <w:pStyle w:val="NoSpacing"/>
        <w:jc w:val="both"/>
        <w:rPr>
          <w:rFonts w:asciiTheme="majorHAnsi" w:hAnsiTheme="majorHAnsi" w:cstheme="majorHAnsi"/>
          <w:sz w:val="20"/>
          <w:szCs w:val="20"/>
        </w:rPr>
      </w:pPr>
    </w:p>
    <w:p w14:paraId="4353BC23" w14:textId="77777777" w:rsidR="00235660" w:rsidRPr="006F16B3" w:rsidRDefault="00235660" w:rsidP="0001540A">
      <w:pPr>
        <w:pStyle w:val="NoSpacing"/>
        <w:jc w:val="both"/>
        <w:rPr>
          <w:rFonts w:asciiTheme="majorHAnsi" w:hAnsiTheme="majorHAnsi" w:cstheme="majorHAnsi"/>
          <w:sz w:val="20"/>
          <w:szCs w:val="20"/>
        </w:rPr>
      </w:pPr>
    </w:p>
    <w:p w14:paraId="7E656DFE" w14:textId="77777777" w:rsidR="00235660" w:rsidRPr="006F16B3" w:rsidRDefault="00235660" w:rsidP="0001540A">
      <w:pPr>
        <w:pStyle w:val="NoSpacing"/>
        <w:jc w:val="both"/>
        <w:rPr>
          <w:rFonts w:asciiTheme="majorHAnsi" w:hAnsiTheme="majorHAnsi" w:cstheme="majorHAnsi"/>
          <w:sz w:val="20"/>
          <w:szCs w:val="20"/>
        </w:rPr>
      </w:pPr>
    </w:p>
    <w:p w14:paraId="14399CF7" w14:textId="77777777" w:rsidR="00235660" w:rsidRPr="006F16B3" w:rsidRDefault="00235660" w:rsidP="0001540A">
      <w:pPr>
        <w:pStyle w:val="NoSpacing"/>
        <w:jc w:val="both"/>
        <w:rPr>
          <w:rFonts w:asciiTheme="majorHAnsi" w:hAnsiTheme="majorHAnsi" w:cstheme="majorHAnsi"/>
          <w:i/>
          <w:sz w:val="20"/>
          <w:szCs w:val="20"/>
        </w:rPr>
      </w:pPr>
    </w:p>
    <w:p w14:paraId="61C210E1" w14:textId="77777777" w:rsidR="002552E7" w:rsidRPr="006F16B3" w:rsidRDefault="002552E7" w:rsidP="0001540A">
      <w:pPr>
        <w:pStyle w:val="NoSpacing"/>
        <w:jc w:val="both"/>
        <w:rPr>
          <w:rFonts w:ascii="Tw Cen MT" w:hAnsi="Tw Cen MT" w:cstheme="majorHAnsi"/>
          <w:i/>
          <w:sz w:val="24"/>
          <w:szCs w:val="20"/>
        </w:rPr>
      </w:pPr>
    </w:p>
    <w:p w14:paraId="6745E3CD" w14:textId="77777777" w:rsidR="009F34B2" w:rsidRPr="006F16B3" w:rsidRDefault="009F34B2" w:rsidP="0001540A">
      <w:pPr>
        <w:pStyle w:val="NoSpacing"/>
        <w:jc w:val="both"/>
        <w:rPr>
          <w:rFonts w:ascii="Tw Cen MT" w:hAnsi="Tw Cen MT" w:cstheme="majorHAnsi"/>
          <w:sz w:val="24"/>
          <w:szCs w:val="20"/>
        </w:rPr>
      </w:pPr>
    </w:p>
    <w:p w14:paraId="01477498" w14:textId="6DE0E1DE" w:rsidR="0001540A" w:rsidRPr="00846E38" w:rsidRDefault="0001540A" w:rsidP="0001540A">
      <w:pPr>
        <w:pStyle w:val="NoSpacing"/>
        <w:jc w:val="both"/>
        <w:rPr>
          <w:rFonts w:ascii="Tw Cen MT" w:hAnsi="Tw Cen MT" w:cstheme="majorHAnsi"/>
          <w:b/>
          <w:bCs/>
          <w:sz w:val="24"/>
          <w:szCs w:val="20"/>
        </w:rPr>
      </w:pPr>
      <w:r w:rsidRPr="00846E38">
        <w:rPr>
          <w:rFonts w:ascii="Tw Cen MT" w:hAnsi="Tw Cen MT"/>
          <w:b/>
          <w:bCs/>
          <w:sz w:val="24"/>
        </w:rPr>
        <w:t>Comment la DTM fonctionne-t-elle ?</w:t>
      </w:r>
    </w:p>
    <w:p w14:paraId="60402DBD" w14:textId="77777777" w:rsidR="009F34B2" w:rsidRDefault="0001540A" w:rsidP="0001540A">
      <w:pPr>
        <w:pStyle w:val="NoSpacing"/>
        <w:jc w:val="both"/>
        <w:rPr>
          <w:rFonts w:ascii="Tw Cen MT" w:hAnsi="Tw Cen MT" w:cstheme="majorHAnsi"/>
          <w:sz w:val="20"/>
          <w:szCs w:val="20"/>
        </w:rPr>
      </w:pPr>
      <w:r>
        <w:rPr>
          <w:rFonts w:ascii="Tw Cen MT" w:hAnsi="Tw Cen MT"/>
          <w:sz w:val="20"/>
        </w:rPr>
        <w:t xml:space="preserve">Le questionnaire est conçu différemment dans chaque contexte. En </w:t>
      </w:r>
      <w:proofErr w:type="spellStart"/>
      <w:r>
        <w:rPr>
          <w:rFonts w:ascii="Tw Cen MT" w:hAnsi="Tw Cen MT"/>
          <w:sz w:val="20"/>
        </w:rPr>
        <w:t>dʼautres</w:t>
      </w:r>
      <w:proofErr w:type="spellEnd"/>
      <w:r>
        <w:rPr>
          <w:rFonts w:ascii="Tw Cen MT" w:hAnsi="Tw Cen MT"/>
          <w:sz w:val="20"/>
        </w:rPr>
        <w:t xml:space="preserve"> termes, aucun questionnaire standard </w:t>
      </w:r>
      <w:proofErr w:type="spellStart"/>
      <w:r>
        <w:rPr>
          <w:rFonts w:ascii="Tw Cen MT" w:hAnsi="Tw Cen MT"/>
          <w:sz w:val="20"/>
        </w:rPr>
        <w:t>nʼest</w:t>
      </w:r>
      <w:proofErr w:type="spellEnd"/>
      <w:r>
        <w:rPr>
          <w:rFonts w:ascii="Tw Cen MT" w:hAnsi="Tw Cen MT"/>
          <w:sz w:val="20"/>
        </w:rPr>
        <w:t xml:space="preserve"> fourni, car les besoins en informations varient selon le contexte. Il est demandé à chaque Cluster / Groupe de travail </w:t>
      </w:r>
      <w:proofErr w:type="spellStart"/>
      <w:r>
        <w:rPr>
          <w:rFonts w:ascii="Tw Cen MT" w:hAnsi="Tw Cen MT"/>
          <w:sz w:val="20"/>
        </w:rPr>
        <w:t>dʼapporter</w:t>
      </w:r>
      <w:proofErr w:type="spellEnd"/>
      <w:r>
        <w:rPr>
          <w:rFonts w:ascii="Tw Cen MT" w:hAnsi="Tw Cen MT"/>
          <w:sz w:val="20"/>
        </w:rPr>
        <w:t xml:space="preserve"> une contribution au questionnaire, afin de </w:t>
      </w:r>
      <w:proofErr w:type="spellStart"/>
      <w:r>
        <w:rPr>
          <w:rFonts w:ascii="Tw Cen MT" w:hAnsi="Tw Cen MT"/>
          <w:sz w:val="20"/>
        </w:rPr>
        <w:t>sʼassurer</w:t>
      </w:r>
      <w:proofErr w:type="spellEnd"/>
      <w:r>
        <w:rPr>
          <w:rFonts w:ascii="Tw Cen MT" w:hAnsi="Tw Cen MT"/>
          <w:sz w:val="20"/>
        </w:rPr>
        <w:t xml:space="preserve"> que les indicateurs les plus utiles y figurent. </w:t>
      </w:r>
    </w:p>
    <w:p w14:paraId="1C2AF1D2" w14:textId="368BCCEC" w:rsidR="009F34B2" w:rsidRPr="006F16B3" w:rsidRDefault="009F34B2" w:rsidP="0001540A">
      <w:pPr>
        <w:pStyle w:val="NoSpacing"/>
        <w:jc w:val="both"/>
        <w:rPr>
          <w:rFonts w:ascii="Tw Cen MT" w:hAnsi="Tw Cen MT" w:cstheme="majorHAnsi"/>
          <w:sz w:val="20"/>
          <w:szCs w:val="20"/>
        </w:rPr>
      </w:pPr>
    </w:p>
    <w:p w14:paraId="2C414616" w14:textId="61B11CCB" w:rsidR="009F34B2" w:rsidRPr="00846E38" w:rsidRDefault="009F34B2" w:rsidP="0001540A">
      <w:pPr>
        <w:pStyle w:val="NoSpacing"/>
        <w:jc w:val="both"/>
        <w:rPr>
          <w:rFonts w:ascii="Tw Cen MT" w:hAnsi="Tw Cen MT" w:cstheme="majorHAnsi"/>
          <w:b/>
          <w:bCs/>
          <w:sz w:val="24"/>
          <w:szCs w:val="20"/>
        </w:rPr>
      </w:pPr>
      <w:r w:rsidRPr="00846E38">
        <w:rPr>
          <w:rFonts w:ascii="Tw Cen MT" w:hAnsi="Tw Cen MT"/>
          <w:b/>
          <w:bCs/>
          <w:sz w:val="24"/>
        </w:rPr>
        <w:t>Quelles sont les responsabilités du sous-cluster VBG en matière de DTM ?</w:t>
      </w:r>
    </w:p>
    <w:p w14:paraId="2D509BEC" w14:textId="19278521" w:rsidR="00354F50" w:rsidRPr="00CB5782" w:rsidRDefault="00FC676D" w:rsidP="0001540A">
      <w:pPr>
        <w:pStyle w:val="NoSpacing"/>
        <w:jc w:val="both"/>
        <w:rPr>
          <w:rFonts w:ascii="Tw Cen MT" w:hAnsi="Tw Cen MT" w:cstheme="majorHAnsi"/>
          <w:sz w:val="20"/>
          <w:szCs w:val="20"/>
        </w:rPr>
      </w:pPr>
      <w:r>
        <w:rPr>
          <w:rFonts w:ascii="Tw Cen MT" w:hAnsi="Tw Cen MT"/>
          <w:sz w:val="20"/>
        </w:rPr>
        <w:t xml:space="preserve">La création </w:t>
      </w:r>
      <w:proofErr w:type="spellStart"/>
      <w:r>
        <w:rPr>
          <w:rFonts w:ascii="Tw Cen MT" w:hAnsi="Tw Cen MT"/>
          <w:sz w:val="20"/>
        </w:rPr>
        <w:t>dʼun</w:t>
      </w:r>
      <w:proofErr w:type="spellEnd"/>
      <w:r>
        <w:rPr>
          <w:rFonts w:ascii="Tw Cen MT" w:hAnsi="Tw Cen MT"/>
          <w:sz w:val="20"/>
        </w:rPr>
        <w:t xml:space="preserve"> questionnaire DTM comporte </w:t>
      </w:r>
      <w:r>
        <w:rPr>
          <w:rFonts w:ascii="Tw Cen MT" w:hAnsi="Tw Cen MT"/>
          <w:i/>
          <w:sz w:val="20"/>
        </w:rPr>
        <w:t>quatre rôles clés</w:t>
      </w:r>
      <w:r>
        <w:rPr>
          <w:rFonts w:ascii="Tw Cen MT" w:hAnsi="Tw Cen MT"/>
          <w:sz w:val="20"/>
        </w:rPr>
        <w:t> :</w:t>
      </w:r>
    </w:p>
    <w:p w14:paraId="087A8920" w14:textId="282844F5" w:rsidR="00FC676D" w:rsidRPr="00CB5782" w:rsidRDefault="00FC676D" w:rsidP="00846E38">
      <w:pPr>
        <w:pStyle w:val="NoSpacing"/>
        <w:numPr>
          <w:ilvl w:val="0"/>
          <w:numId w:val="4"/>
        </w:numPr>
        <w:spacing w:after="120"/>
        <w:ind w:left="709"/>
        <w:jc w:val="both"/>
        <w:rPr>
          <w:rFonts w:ascii="Tw Cen MT" w:hAnsi="Tw Cen MT" w:cstheme="majorHAnsi"/>
          <w:sz w:val="20"/>
          <w:szCs w:val="20"/>
        </w:rPr>
      </w:pPr>
      <w:r>
        <w:rPr>
          <w:rFonts w:ascii="Tw Cen MT" w:hAnsi="Tw Cen MT"/>
          <w:sz w:val="20"/>
        </w:rPr>
        <w:t>Le coordinateur DTM : Il / Elle examinera avec les partenaires (par exemple, les clusters et les groupes de travail) les informations dont ils ont besoin, et apportera les connaissances de son équipe sur la meilleure façon de poser les questions pour fournir ces informations.</w:t>
      </w:r>
    </w:p>
    <w:p w14:paraId="5FEB4E2D" w14:textId="08ECD614" w:rsidR="00FC676D" w:rsidRPr="00CB5782" w:rsidRDefault="00FC676D" w:rsidP="00846E38">
      <w:pPr>
        <w:pStyle w:val="NoSpacing"/>
        <w:numPr>
          <w:ilvl w:val="0"/>
          <w:numId w:val="4"/>
        </w:numPr>
        <w:spacing w:after="120"/>
        <w:ind w:left="709"/>
        <w:jc w:val="both"/>
        <w:rPr>
          <w:rFonts w:ascii="Tw Cen MT" w:hAnsi="Tw Cen MT" w:cstheme="majorHAnsi"/>
          <w:b/>
          <w:sz w:val="20"/>
          <w:szCs w:val="20"/>
        </w:rPr>
      </w:pPr>
      <w:r>
        <w:rPr>
          <w:rFonts w:ascii="Tw Cen MT" w:hAnsi="Tw Cen MT"/>
          <w:b/>
          <w:sz w:val="20"/>
        </w:rPr>
        <w:t xml:space="preserve">Le coordinateur du sous-cluster VBG : </w:t>
      </w:r>
      <w:r>
        <w:rPr>
          <w:rFonts w:ascii="Tw Cen MT" w:hAnsi="Tw Cen MT"/>
          <w:sz w:val="20"/>
        </w:rPr>
        <w:t xml:space="preserve">Il / Elle définit les informations sur les besoins et les risques de VBG à recueillir, en fonction des décisions que doit prendre le cluster pour répondre à la VBG. </w:t>
      </w:r>
    </w:p>
    <w:p w14:paraId="612309B9" w14:textId="4ABC54E0" w:rsidR="00FC676D" w:rsidRPr="002552E7" w:rsidRDefault="00FC676D" w:rsidP="00846E38">
      <w:pPr>
        <w:pStyle w:val="NoSpacing"/>
        <w:numPr>
          <w:ilvl w:val="0"/>
          <w:numId w:val="4"/>
        </w:numPr>
        <w:spacing w:after="120"/>
        <w:ind w:left="709"/>
        <w:jc w:val="both"/>
        <w:rPr>
          <w:rFonts w:ascii="Tw Cen MT" w:hAnsi="Tw Cen MT" w:cstheme="majorHAnsi"/>
          <w:b/>
          <w:sz w:val="20"/>
          <w:szCs w:val="20"/>
        </w:rPr>
      </w:pPr>
      <w:r>
        <w:rPr>
          <w:rFonts w:ascii="Tw Cen MT" w:hAnsi="Tw Cen MT"/>
          <w:b/>
          <w:sz w:val="20"/>
        </w:rPr>
        <w:t xml:space="preserve">Le SGI du sous-cluster VBG : </w:t>
      </w:r>
      <w:r>
        <w:rPr>
          <w:rFonts w:ascii="Tw Cen MT" w:hAnsi="Tw Cen MT"/>
          <w:sz w:val="20"/>
        </w:rPr>
        <w:t xml:space="preserve">Il identifie les informations sur la VBG qui existent déjà, ce qui manque et ce qui peut être collecté au moyen de la DTM. </w:t>
      </w:r>
    </w:p>
    <w:p w14:paraId="4B6E1AEA" w14:textId="62AA8750" w:rsidR="002552E7" w:rsidRPr="00F12770" w:rsidRDefault="006072C8" w:rsidP="00846E38">
      <w:pPr>
        <w:pStyle w:val="NoSpacing"/>
        <w:numPr>
          <w:ilvl w:val="0"/>
          <w:numId w:val="4"/>
        </w:numPr>
        <w:spacing w:after="120"/>
        <w:ind w:left="709"/>
        <w:jc w:val="both"/>
        <w:rPr>
          <w:rFonts w:ascii="Tw Cen MT" w:hAnsi="Tw Cen MT" w:cstheme="majorHAnsi"/>
          <w:b/>
          <w:sz w:val="20"/>
          <w:szCs w:val="20"/>
        </w:rPr>
      </w:pPr>
      <w:proofErr w:type="spellStart"/>
      <w:r>
        <w:rPr>
          <w:rFonts w:ascii="Tw Cen MT" w:hAnsi="Tw Cen MT"/>
          <w:sz w:val="20"/>
        </w:rPr>
        <w:t>Lʼexpert</w:t>
      </w:r>
      <w:proofErr w:type="spellEnd"/>
      <w:r>
        <w:rPr>
          <w:rFonts w:ascii="Tw Cen MT" w:hAnsi="Tw Cen MT"/>
          <w:sz w:val="20"/>
        </w:rPr>
        <w:t xml:space="preserve"> culturel / contextuel : Il / Elle donne des informations sur ce que </w:t>
      </w:r>
      <w:proofErr w:type="spellStart"/>
      <w:r>
        <w:rPr>
          <w:rFonts w:ascii="Tw Cen MT" w:hAnsi="Tw Cen MT"/>
          <w:sz w:val="20"/>
        </w:rPr>
        <w:t>lʼon</w:t>
      </w:r>
      <w:proofErr w:type="spellEnd"/>
      <w:r>
        <w:rPr>
          <w:rFonts w:ascii="Tw Cen MT" w:hAnsi="Tw Cen MT"/>
          <w:sz w:val="20"/>
        </w:rPr>
        <w:t xml:space="preserve"> sait déjà, indique quels problèmes méritent une attention particulière dans le contexte, quelles sont les sensibilités culturelles et comment obtenir au mieux les informations nécessaires dans le contexte. </w:t>
      </w:r>
    </w:p>
    <w:p w14:paraId="7C92725C" w14:textId="084177A3" w:rsidR="009F34B2" w:rsidRDefault="009F34B2" w:rsidP="009F34B2">
      <w:pPr>
        <w:pStyle w:val="NoSpacing"/>
        <w:jc w:val="both"/>
        <w:rPr>
          <w:rFonts w:ascii="Tw Cen MT" w:hAnsi="Tw Cen MT" w:cstheme="majorHAnsi"/>
          <w:sz w:val="20"/>
          <w:szCs w:val="20"/>
        </w:rPr>
      </w:pPr>
      <w:r>
        <w:rPr>
          <w:rFonts w:ascii="Tw Cen MT" w:hAnsi="Tw Cen MT"/>
          <w:sz w:val="20"/>
        </w:rPr>
        <w:t xml:space="preserve">Bien que la DTM ait la responsabilité de collecter, de traiter et de partager les résultats dès que possible avec les partenaires, il incombe aux coordinateurs des sous-clusters VBG et aux spécialistes de la gestion de </w:t>
      </w:r>
      <w:proofErr w:type="spellStart"/>
      <w:r>
        <w:rPr>
          <w:rFonts w:ascii="Tw Cen MT" w:hAnsi="Tw Cen MT"/>
          <w:sz w:val="20"/>
        </w:rPr>
        <w:t>lʼinformation</w:t>
      </w:r>
      <w:proofErr w:type="spellEnd"/>
      <w:r>
        <w:rPr>
          <w:rFonts w:ascii="Tw Cen MT" w:hAnsi="Tw Cen MT"/>
          <w:sz w:val="20"/>
        </w:rPr>
        <w:t xml:space="preserve"> (SGI) </w:t>
      </w:r>
      <w:proofErr w:type="spellStart"/>
      <w:r>
        <w:rPr>
          <w:rFonts w:ascii="Tw Cen MT" w:hAnsi="Tw Cen MT"/>
          <w:sz w:val="20"/>
        </w:rPr>
        <w:t>dʼinterpréter</w:t>
      </w:r>
      <w:proofErr w:type="spellEnd"/>
      <w:r>
        <w:rPr>
          <w:rFonts w:ascii="Tw Cen MT" w:hAnsi="Tw Cen MT"/>
          <w:sz w:val="20"/>
        </w:rPr>
        <w:t xml:space="preserve"> les résultats pertinents et </w:t>
      </w:r>
      <w:proofErr w:type="spellStart"/>
      <w:r>
        <w:rPr>
          <w:rFonts w:ascii="Tw Cen MT" w:hAnsi="Tw Cen MT"/>
          <w:sz w:val="20"/>
        </w:rPr>
        <w:t>dʼutiliser</w:t>
      </w:r>
      <w:proofErr w:type="spellEnd"/>
      <w:r>
        <w:rPr>
          <w:rFonts w:ascii="Tw Cen MT" w:hAnsi="Tw Cen MT"/>
          <w:sz w:val="20"/>
        </w:rPr>
        <w:t xml:space="preserve"> les informations pour la réponse.  Les SGI et les coordinateurs doivent également identifier les changements nécessaires à apporter aux questions au fil du temps. </w:t>
      </w:r>
      <w:r>
        <w:rPr>
          <w:rFonts w:ascii="Tw Cen MT" w:hAnsi="Tw Cen MT"/>
          <w:i/>
          <w:sz w:val="20"/>
        </w:rPr>
        <w:t xml:space="preserve">Exemple : </w:t>
      </w:r>
      <w:r>
        <w:rPr>
          <w:rFonts w:ascii="Tw Cen MT" w:hAnsi="Tw Cen MT"/>
          <w:sz w:val="20"/>
        </w:rPr>
        <w:t xml:space="preserve">La question « Les femmes évitent-elles certaines zones du </w:t>
      </w:r>
      <w:proofErr w:type="gramStart"/>
      <w:r>
        <w:rPr>
          <w:rFonts w:ascii="Tw Cen MT" w:hAnsi="Tw Cen MT"/>
          <w:sz w:val="20"/>
        </w:rPr>
        <w:t>camp?</w:t>
      </w:r>
      <w:proofErr w:type="gramEnd"/>
      <w:r>
        <w:rPr>
          <w:rFonts w:ascii="Tw Cen MT" w:hAnsi="Tw Cen MT"/>
          <w:sz w:val="20"/>
        </w:rPr>
        <w:t xml:space="preserve"> » figure dans le questionnaire, dans le but de savoir si les femmes évitent certaines zones et, par la suite, de faire une évaluation de suivi pour déterminer quelles zones les femmes évitent et si cela est lié au risque de VBG. Mois après mois, les réponses à cette question sont « non » pour environ 98 % des informateurs clés. Cela signifie que : a) il </w:t>
      </w:r>
      <w:proofErr w:type="spellStart"/>
      <w:r>
        <w:rPr>
          <w:rFonts w:ascii="Tw Cen MT" w:hAnsi="Tw Cen MT"/>
          <w:sz w:val="20"/>
        </w:rPr>
        <w:t>nʼy</w:t>
      </w:r>
      <w:proofErr w:type="spellEnd"/>
      <w:r>
        <w:rPr>
          <w:rFonts w:ascii="Tw Cen MT" w:hAnsi="Tw Cen MT"/>
          <w:sz w:val="20"/>
        </w:rPr>
        <w:t xml:space="preserve"> a dans le camp aucune zone que les femmes évitent ou b) la question </w:t>
      </w:r>
      <w:proofErr w:type="spellStart"/>
      <w:r>
        <w:rPr>
          <w:rFonts w:ascii="Tw Cen MT" w:hAnsi="Tw Cen MT"/>
          <w:sz w:val="20"/>
        </w:rPr>
        <w:t>nʼest</w:t>
      </w:r>
      <w:proofErr w:type="spellEnd"/>
      <w:r>
        <w:rPr>
          <w:rFonts w:ascii="Tw Cen MT" w:hAnsi="Tw Cen MT"/>
          <w:sz w:val="20"/>
        </w:rPr>
        <w:t xml:space="preserve"> pas formulée </w:t>
      </w:r>
      <w:proofErr w:type="spellStart"/>
      <w:r>
        <w:rPr>
          <w:rFonts w:ascii="Tw Cen MT" w:hAnsi="Tw Cen MT"/>
          <w:sz w:val="20"/>
        </w:rPr>
        <w:t>dʼune</w:t>
      </w:r>
      <w:proofErr w:type="spellEnd"/>
      <w:r>
        <w:rPr>
          <w:rFonts w:ascii="Tw Cen MT" w:hAnsi="Tw Cen MT"/>
          <w:sz w:val="20"/>
        </w:rPr>
        <w:t xml:space="preserve"> manière qui fournit une réponse utile. Par conséquent, le coordinateur VBG et le SGI peuvent soit envisager de reformuler la question, soit de la retirer, soit de proposer une autre question qui permettrait de mieux saisir ces informations. </w:t>
      </w:r>
    </w:p>
    <w:p w14:paraId="1838D99F" w14:textId="77777777" w:rsidR="0001540A" w:rsidRPr="006F16B3" w:rsidRDefault="0001540A" w:rsidP="0001540A">
      <w:pPr>
        <w:pStyle w:val="NoSpacing"/>
        <w:jc w:val="both"/>
        <w:rPr>
          <w:rFonts w:ascii="Tw Cen MT" w:hAnsi="Tw Cen MT" w:cstheme="majorHAnsi"/>
          <w:sz w:val="20"/>
          <w:szCs w:val="20"/>
        </w:rPr>
      </w:pPr>
    </w:p>
    <w:p w14:paraId="58017350" w14:textId="4EB56438" w:rsidR="0001540A" w:rsidRPr="00846E38" w:rsidRDefault="003F6DE3" w:rsidP="0001540A">
      <w:pPr>
        <w:pStyle w:val="NoSpacing"/>
        <w:jc w:val="both"/>
        <w:rPr>
          <w:rFonts w:ascii="Tw Cen MT" w:hAnsi="Tw Cen MT" w:cstheme="majorHAnsi"/>
          <w:b/>
          <w:bCs/>
          <w:sz w:val="24"/>
          <w:szCs w:val="20"/>
        </w:rPr>
      </w:pPr>
      <w:r w:rsidRPr="00846E38">
        <w:rPr>
          <w:rFonts w:ascii="Tw Cen MT" w:hAnsi="Tw Cen MT"/>
          <w:b/>
          <w:bCs/>
          <w:sz w:val="24"/>
        </w:rPr>
        <w:t>Quelle est la méthodologie sous-jacente de la DTM ?</w:t>
      </w:r>
    </w:p>
    <w:p w14:paraId="4AB1BA00" w14:textId="2EBE5107" w:rsidR="008E51B9" w:rsidRPr="00CB5782" w:rsidRDefault="0001540A" w:rsidP="0001540A">
      <w:pPr>
        <w:pStyle w:val="NoSpacing"/>
        <w:jc w:val="both"/>
        <w:rPr>
          <w:rFonts w:ascii="Tw Cen MT" w:hAnsi="Tw Cen MT" w:cstheme="majorHAnsi"/>
          <w:sz w:val="20"/>
          <w:szCs w:val="20"/>
        </w:rPr>
      </w:pPr>
      <w:r>
        <w:rPr>
          <w:rFonts w:ascii="Tw Cen MT" w:hAnsi="Tw Cen MT"/>
          <w:sz w:val="20"/>
        </w:rPr>
        <w:t xml:space="preserve">Comme le questionnaire, la méthodologie peut également différer. Cependant, dans la plupart des contextes, le questionnaire est largement administré au moyen </w:t>
      </w:r>
      <w:proofErr w:type="spellStart"/>
      <w:r>
        <w:rPr>
          <w:rFonts w:ascii="Tw Cen MT" w:hAnsi="Tw Cen MT"/>
          <w:sz w:val="20"/>
        </w:rPr>
        <w:t>dʼ</w:t>
      </w:r>
      <w:r>
        <w:rPr>
          <w:rFonts w:ascii="Tw Cen MT" w:hAnsi="Tw Cen MT"/>
          <w:b/>
          <w:sz w:val="20"/>
        </w:rPr>
        <w:t>entretiens</w:t>
      </w:r>
      <w:proofErr w:type="spellEnd"/>
      <w:r>
        <w:rPr>
          <w:rFonts w:ascii="Tw Cen MT" w:hAnsi="Tw Cen MT"/>
          <w:b/>
          <w:sz w:val="20"/>
        </w:rPr>
        <w:t xml:space="preserve"> avec</w:t>
      </w:r>
      <w:r>
        <w:rPr>
          <w:rFonts w:ascii="Tw Cen MT" w:hAnsi="Tw Cen MT"/>
          <w:sz w:val="20"/>
        </w:rPr>
        <w:t xml:space="preserve"> </w:t>
      </w:r>
      <w:r>
        <w:rPr>
          <w:rFonts w:ascii="Tw Cen MT" w:hAnsi="Tw Cen MT"/>
          <w:b/>
          <w:sz w:val="20"/>
        </w:rPr>
        <w:t xml:space="preserve">des informateurs clés. </w:t>
      </w:r>
      <w:r>
        <w:rPr>
          <w:rFonts w:ascii="Tw Cen MT" w:hAnsi="Tw Cen MT"/>
          <w:sz w:val="20"/>
        </w:rPr>
        <w:t xml:space="preserve">Ces entretiens avec des informateurs clés se font normalement en personne. Toutefois, lorsque </w:t>
      </w:r>
      <w:proofErr w:type="spellStart"/>
      <w:r>
        <w:rPr>
          <w:rFonts w:ascii="Tw Cen MT" w:hAnsi="Tw Cen MT"/>
          <w:sz w:val="20"/>
        </w:rPr>
        <w:t>lʼaccès</w:t>
      </w:r>
      <w:proofErr w:type="spellEnd"/>
      <w:r>
        <w:rPr>
          <w:rFonts w:ascii="Tw Cen MT" w:hAnsi="Tw Cen MT"/>
          <w:sz w:val="20"/>
        </w:rPr>
        <w:t xml:space="preserve"> </w:t>
      </w:r>
      <w:proofErr w:type="spellStart"/>
      <w:r>
        <w:rPr>
          <w:rFonts w:ascii="Tw Cen MT" w:hAnsi="Tw Cen MT"/>
          <w:sz w:val="20"/>
        </w:rPr>
        <w:t>nʼest</w:t>
      </w:r>
      <w:proofErr w:type="spellEnd"/>
      <w:r>
        <w:rPr>
          <w:rFonts w:ascii="Tw Cen MT" w:hAnsi="Tw Cen MT"/>
          <w:sz w:val="20"/>
        </w:rPr>
        <w:t xml:space="preserve"> pas possible, ils peuvent se faire par téléphone. </w:t>
      </w:r>
    </w:p>
    <w:p w14:paraId="128A0C15" w14:textId="4A695545" w:rsidR="00F12770" w:rsidRPr="006F16B3" w:rsidRDefault="00F12770" w:rsidP="0001540A">
      <w:pPr>
        <w:pStyle w:val="NoSpacing"/>
        <w:jc w:val="both"/>
        <w:rPr>
          <w:rFonts w:ascii="Tw Cen MT" w:hAnsi="Tw Cen MT" w:cstheme="majorHAnsi"/>
          <w:sz w:val="20"/>
          <w:szCs w:val="20"/>
        </w:rPr>
      </w:pPr>
    </w:p>
    <w:p w14:paraId="45F91AAC" w14:textId="008113D3" w:rsidR="00E43655" w:rsidRPr="006F16B3" w:rsidRDefault="00E43655" w:rsidP="0001540A">
      <w:pPr>
        <w:pStyle w:val="NoSpacing"/>
        <w:jc w:val="both"/>
        <w:rPr>
          <w:rFonts w:ascii="Tw Cen MT" w:hAnsi="Tw Cen MT" w:cstheme="majorHAnsi"/>
          <w:sz w:val="20"/>
          <w:szCs w:val="20"/>
        </w:rPr>
      </w:pPr>
    </w:p>
    <w:p w14:paraId="1F396818" w14:textId="4B8A451B" w:rsidR="008E51B9" w:rsidRPr="00CB5782" w:rsidRDefault="008E51B9" w:rsidP="0001540A">
      <w:pPr>
        <w:pStyle w:val="NoSpacing"/>
        <w:jc w:val="both"/>
        <w:rPr>
          <w:rFonts w:ascii="Tw Cen MT" w:hAnsi="Tw Cen MT" w:cstheme="majorHAnsi"/>
          <w:sz w:val="20"/>
          <w:szCs w:val="20"/>
        </w:rPr>
      </w:pPr>
      <w:r>
        <w:rPr>
          <w:rFonts w:ascii="Tw Cen MT" w:hAnsi="Tw Cen MT"/>
          <w:sz w:val="20"/>
        </w:rPr>
        <w:lastRenderedPageBreak/>
        <w:t xml:space="preserve">Il existe deux possibilités pour les informateurs clés : </w:t>
      </w:r>
    </w:p>
    <w:p w14:paraId="785B2F3E" w14:textId="56374DE9" w:rsidR="008E51B9" w:rsidRPr="00CB5782" w:rsidRDefault="008E51B9" w:rsidP="00846E38">
      <w:pPr>
        <w:pStyle w:val="NoSpacing"/>
        <w:numPr>
          <w:ilvl w:val="0"/>
          <w:numId w:val="1"/>
        </w:numPr>
        <w:spacing w:after="120"/>
        <w:ind w:left="714" w:hanging="357"/>
        <w:jc w:val="both"/>
        <w:rPr>
          <w:rFonts w:ascii="Tw Cen MT" w:hAnsi="Tw Cen MT" w:cstheme="majorHAnsi"/>
          <w:sz w:val="20"/>
          <w:szCs w:val="20"/>
        </w:rPr>
      </w:pPr>
      <w:r>
        <w:rPr>
          <w:rFonts w:ascii="Tw Cen MT" w:hAnsi="Tw Cen MT"/>
          <w:b/>
          <w:sz w:val="20"/>
        </w:rPr>
        <w:t xml:space="preserve">Informateurs clés spécialisés : </w:t>
      </w:r>
      <w:r>
        <w:rPr>
          <w:rFonts w:ascii="Tw Cen MT" w:hAnsi="Tw Cen MT"/>
          <w:sz w:val="20"/>
        </w:rPr>
        <w:t xml:space="preserve">ils ont une connaissance explicite du sujet traité. Le questionnaire complet peut comprendre différentes parties. </w:t>
      </w:r>
      <w:proofErr w:type="spellStart"/>
      <w:r>
        <w:rPr>
          <w:rFonts w:ascii="Tw Cen MT" w:hAnsi="Tw Cen MT"/>
          <w:sz w:val="20"/>
        </w:rPr>
        <w:t>Lʼon</w:t>
      </w:r>
      <w:proofErr w:type="spellEnd"/>
      <w:r>
        <w:rPr>
          <w:rFonts w:ascii="Tw Cen MT" w:hAnsi="Tw Cen MT"/>
          <w:sz w:val="20"/>
        </w:rPr>
        <w:t xml:space="preserve"> peut décider de poser certaines questions à des informateurs clés spécialisés. Par exemple, des questions sur </w:t>
      </w:r>
      <w:proofErr w:type="spellStart"/>
      <w:r>
        <w:rPr>
          <w:rFonts w:ascii="Tw Cen MT" w:hAnsi="Tw Cen MT"/>
          <w:sz w:val="20"/>
        </w:rPr>
        <w:t>lʼexistence</w:t>
      </w:r>
      <w:proofErr w:type="spellEnd"/>
      <w:r>
        <w:rPr>
          <w:rFonts w:ascii="Tw Cen MT" w:hAnsi="Tw Cen MT"/>
          <w:sz w:val="20"/>
        </w:rPr>
        <w:t xml:space="preserve"> </w:t>
      </w:r>
      <w:proofErr w:type="spellStart"/>
      <w:r>
        <w:rPr>
          <w:rFonts w:ascii="Tw Cen MT" w:hAnsi="Tw Cen MT"/>
          <w:sz w:val="20"/>
        </w:rPr>
        <w:t>dʼune</w:t>
      </w:r>
      <w:proofErr w:type="spellEnd"/>
      <w:r>
        <w:rPr>
          <w:rFonts w:ascii="Tw Cen MT" w:hAnsi="Tw Cen MT"/>
          <w:sz w:val="20"/>
        </w:rPr>
        <w:t xml:space="preserve"> voie de référencement pour la VBG dans un camp donné peuvent être posées au directeur du camp sur le site. On suppose que cet informateur spécialisé est bien placé pour fournir une réponse. Cependant, la DTM ne peut généralement pas </w:t>
      </w:r>
      <w:proofErr w:type="spellStart"/>
      <w:r>
        <w:rPr>
          <w:rFonts w:ascii="Tw Cen MT" w:hAnsi="Tw Cen MT"/>
          <w:sz w:val="20"/>
        </w:rPr>
        <w:t>sʼappuyer</w:t>
      </w:r>
      <w:proofErr w:type="spellEnd"/>
      <w:r>
        <w:rPr>
          <w:rFonts w:ascii="Tw Cen MT" w:hAnsi="Tw Cen MT"/>
          <w:sz w:val="20"/>
        </w:rPr>
        <w:t xml:space="preserve"> sur des informateurs clés spécialisés. </w:t>
      </w:r>
    </w:p>
    <w:p w14:paraId="5D304526" w14:textId="143DC01F" w:rsidR="007F5E63" w:rsidRDefault="008E51B9" w:rsidP="00846E38">
      <w:pPr>
        <w:pStyle w:val="NoSpacing"/>
        <w:numPr>
          <w:ilvl w:val="0"/>
          <w:numId w:val="1"/>
        </w:numPr>
        <w:spacing w:after="120"/>
        <w:ind w:left="714" w:hanging="357"/>
        <w:jc w:val="both"/>
        <w:rPr>
          <w:rFonts w:ascii="Tw Cen MT" w:hAnsi="Tw Cen MT" w:cstheme="majorHAnsi"/>
          <w:sz w:val="20"/>
          <w:szCs w:val="20"/>
        </w:rPr>
      </w:pPr>
      <w:r>
        <w:rPr>
          <w:rFonts w:ascii="Tw Cen MT" w:hAnsi="Tw Cen MT"/>
          <w:b/>
          <w:sz w:val="20"/>
        </w:rPr>
        <w:t xml:space="preserve">Informateurs clés non spécialisés : </w:t>
      </w:r>
      <w:r>
        <w:rPr>
          <w:rFonts w:ascii="Tw Cen MT" w:hAnsi="Tw Cen MT"/>
          <w:sz w:val="20"/>
        </w:rPr>
        <w:t xml:space="preserve">ils font en général partie de la population touchée sur le site évalué (par exemple, une personne déplacée à l’intérieur de son pays, un chef de communauté, un membre du comité des personnes déplacées à l’intérieur de leur pays, etc.). Les informateurs clés sont sélectionnés sur la base de leur connaissance de la communauté et répondent aux questions </w:t>
      </w:r>
      <w:proofErr w:type="spellStart"/>
      <w:r>
        <w:rPr>
          <w:rFonts w:ascii="Tw Cen MT" w:hAnsi="Tw Cen MT"/>
          <w:sz w:val="20"/>
        </w:rPr>
        <w:t>dʼaprès</w:t>
      </w:r>
      <w:proofErr w:type="spellEnd"/>
      <w:r>
        <w:rPr>
          <w:rFonts w:ascii="Tw Cen MT" w:hAnsi="Tw Cen MT"/>
          <w:sz w:val="20"/>
        </w:rPr>
        <w:t xml:space="preserve"> ce </w:t>
      </w:r>
      <w:proofErr w:type="spellStart"/>
      <w:r>
        <w:rPr>
          <w:rFonts w:ascii="Tw Cen MT" w:hAnsi="Tw Cen MT"/>
          <w:sz w:val="20"/>
        </w:rPr>
        <w:t>quʼils</w:t>
      </w:r>
      <w:proofErr w:type="spellEnd"/>
      <w:r>
        <w:rPr>
          <w:rFonts w:ascii="Tw Cen MT" w:hAnsi="Tw Cen MT"/>
          <w:sz w:val="20"/>
        </w:rPr>
        <w:t xml:space="preserve"> savent.  Il est important de se rappeler que dans la plupart des cas, </w:t>
      </w:r>
      <w:proofErr w:type="spellStart"/>
      <w:r>
        <w:rPr>
          <w:rFonts w:ascii="Tw Cen MT" w:hAnsi="Tw Cen MT"/>
          <w:sz w:val="20"/>
        </w:rPr>
        <w:t>lʼinformateur</w:t>
      </w:r>
      <w:proofErr w:type="spellEnd"/>
      <w:r>
        <w:rPr>
          <w:rFonts w:ascii="Tw Cen MT" w:hAnsi="Tw Cen MT"/>
          <w:sz w:val="20"/>
        </w:rPr>
        <w:t xml:space="preserve"> clé est un </w:t>
      </w:r>
      <w:r>
        <w:rPr>
          <w:rFonts w:ascii="Tw Cen MT" w:hAnsi="Tw Cen MT"/>
          <w:i/>
          <w:sz w:val="20"/>
        </w:rPr>
        <w:t>homme.</w:t>
      </w:r>
      <w:r>
        <w:rPr>
          <w:rFonts w:ascii="Tw Cen MT" w:hAnsi="Tw Cen MT"/>
          <w:sz w:val="20"/>
        </w:rPr>
        <w:t xml:space="preserve"> Le nombre </w:t>
      </w:r>
      <w:proofErr w:type="spellStart"/>
      <w:r>
        <w:rPr>
          <w:rFonts w:ascii="Tw Cen MT" w:hAnsi="Tw Cen MT"/>
          <w:sz w:val="20"/>
        </w:rPr>
        <w:t>dʼentretiens</w:t>
      </w:r>
      <w:proofErr w:type="spellEnd"/>
      <w:r>
        <w:rPr>
          <w:rFonts w:ascii="Tw Cen MT" w:hAnsi="Tw Cen MT"/>
          <w:sz w:val="20"/>
        </w:rPr>
        <w:t xml:space="preserve"> par domaine </w:t>
      </w:r>
      <w:r>
        <w:rPr>
          <w:rFonts w:ascii="Tw Cen MT" w:hAnsi="Tw Cen MT"/>
          <w:i/>
          <w:sz w:val="20"/>
        </w:rPr>
        <w:t>varie selon le contexte</w:t>
      </w:r>
      <w:r>
        <w:rPr>
          <w:rFonts w:ascii="Tw Cen MT" w:hAnsi="Tw Cen MT"/>
          <w:sz w:val="20"/>
        </w:rPr>
        <w:t>. La DTM a le plus souvent recours à des informateurs clés non spécialisés.</w:t>
      </w:r>
    </w:p>
    <w:p w14:paraId="5A015020" w14:textId="112C92E7" w:rsidR="0001540A" w:rsidRDefault="008E51B9" w:rsidP="0001540A">
      <w:pPr>
        <w:pStyle w:val="NoSpacing"/>
        <w:jc w:val="both"/>
        <w:rPr>
          <w:rFonts w:ascii="Tw Cen MT" w:hAnsi="Tw Cen MT" w:cstheme="majorHAnsi"/>
          <w:sz w:val="20"/>
          <w:szCs w:val="20"/>
        </w:rPr>
      </w:pPr>
      <w:r>
        <w:rPr>
          <w:rFonts w:ascii="Tw Cen MT" w:hAnsi="Tw Cen MT"/>
          <w:sz w:val="20"/>
        </w:rPr>
        <w:t xml:space="preserve">Des </w:t>
      </w:r>
      <w:r>
        <w:rPr>
          <w:rFonts w:ascii="Tw Cen MT" w:hAnsi="Tw Cen MT"/>
          <w:b/>
          <w:sz w:val="20"/>
        </w:rPr>
        <w:t>enquêteurs</w:t>
      </w:r>
      <w:r>
        <w:rPr>
          <w:rFonts w:ascii="Tw Cen MT" w:hAnsi="Tw Cen MT"/>
          <w:sz w:val="20"/>
        </w:rPr>
        <w:t xml:space="preserve"> recrutés et formés localement aux aspects du consentement, à la collecte de données, au questionnaire DTM, etc. réalisent ces entretiens. Ces enquêteurs ne sont bien sûr </w:t>
      </w:r>
      <w:r>
        <w:rPr>
          <w:rFonts w:ascii="Tw Cen MT" w:hAnsi="Tw Cen MT"/>
          <w:b/>
          <w:sz w:val="20"/>
        </w:rPr>
        <w:t>pas des experts en matière de VBG</w:t>
      </w:r>
      <w:r>
        <w:rPr>
          <w:rFonts w:ascii="Tw Cen MT" w:hAnsi="Tw Cen MT"/>
          <w:sz w:val="20"/>
        </w:rPr>
        <w:t xml:space="preserve">, ce qui signifie que le type de questions posées sur la VBG doit être soigneusement étudié. Les enquêteurs sont formés pour orienter les personnes vers les services VBG quand un problème survient lors </w:t>
      </w:r>
      <w:proofErr w:type="spellStart"/>
      <w:r>
        <w:rPr>
          <w:rFonts w:ascii="Tw Cen MT" w:hAnsi="Tw Cen MT"/>
          <w:sz w:val="20"/>
        </w:rPr>
        <w:t>dʼun</w:t>
      </w:r>
      <w:proofErr w:type="spellEnd"/>
      <w:r>
        <w:rPr>
          <w:rFonts w:ascii="Tw Cen MT" w:hAnsi="Tw Cen MT"/>
          <w:sz w:val="20"/>
        </w:rPr>
        <w:t xml:space="preserve"> entretien. Toutefois, les questions ne doivent pas chercher à examiner ces problèmes. Il est important que les collègues de la VBG indiquent la voie de référencement à la DTM, afin que ces personnes puissent être orientée de manière adéquate et en toute sécurité. </w:t>
      </w:r>
    </w:p>
    <w:p w14:paraId="7FBC7099" w14:textId="41E9B10A" w:rsidR="002552E7" w:rsidRPr="006F16B3" w:rsidRDefault="002552E7" w:rsidP="0001540A">
      <w:pPr>
        <w:pStyle w:val="NoSpacing"/>
        <w:jc w:val="both"/>
        <w:rPr>
          <w:rFonts w:ascii="Tw Cen MT" w:hAnsi="Tw Cen MT" w:cstheme="majorHAnsi"/>
          <w:sz w:val="20"/>
          <w:szCs w:val="20"/>
        </w:rPr>
      </w:pPr>
    </w:p>
    <w:p w14:paraId="66F96A08" w14:textId="7F7F7F3F" w:rsidR="0035746E" w:rsidRPr="00846E38" w:rsidRDefault="0035746E" w:rsidP="00607182">
      <w:pPr>
        <w:pStyle w:val="NoSpacing"/>
        <w:shd w:val="clear" w:color="auto" w:fill="F2F2F2" w:themeFill="background1" w:themeFillShade="F2"/>
        <w:tabs>
          <w:tab w:val="right" w:pos="9072"/>
        </w:tabs>
        <w:rPr>
          <w:rFonts w:ascii="Tw Cen MT" w:hAnsi="Tw Cen MT" w:cstheme="majorHAnsi"/>
          <w:b/>
          <w:bCs/>
          <w:i/>
          <w:sz w:val="28"/>
          <w:szCs w:val="20"/>
        </w:rPr>
      </w:pPr>
      <w:r w:rsidRPr="00846E38">
        <w:rPr>
          <w:rFonts w:ascii="Tw Cen MT" w:hAnsi="Tw Cen MT"/>
          <w:b/>
          <w:bCs/>
          <w:i/>
          <w:sz w:val="24"/>
        </w:rPr>
        <w:t>Y a-t-il des limites au recours aux entretiens avec des informateurs clés ?</w:t>
      </w:r>
      <w:r w:rsidRPr="00846E38">
        <w:rPr>
          <w:rFonts w:ascii="Tw Cen MT" w:hAnsi="Tw Cen MT"/>
          <w:b/>
          <w:bCs/>
          <w:i/>
          <w:sz w:val="28"/>
        </w:rPr>
        <w:tab/>
      </w:r>
    </w:p>
    <w:p w14:paraId="0965B3FD" w14:textId="77777777" w:rsidR="0035746E" w:rsidRPr="00D86AFF" w:rsidRDefault="0035746E" w:rsidP="00607182">
      <w:pPr>
        <w:pStyle w:val="NoSpacing"/>
        <w:shd w:val="clear" w:color="auto" w:fill="F2F2F2" w:themeFill="background1" w:themeFillShade="F2"/>
        <w:rPr>
          <w:rFonts w:ascii="Tw Cen MT" w:hAnsi="Tw Cen MT" w:cstheme="majorHAnsi"/>
          <w:sz w:val="20"/>
          <w:szCs w:val="20"/>
        </w:rPr>
      </w:pPr>
      <w:r>
        <w:rPr>
          <w:rFonts w:ascii="Tw Cen MT" w:hAnsi="Tw Cen MT"/>
          <w:sz w:val="20"/>
        </w:rPr>
        <w:t xml:space="preserve">Les entretiens avec des informateurs clés sont des techniques de collecte de données parfaitement valables. Cependant, en raison de la difficulté de faire répondre un grand nombre de personnes à de longs questionnaires, il convient de garder à </w:t>
      </w:r>
      <w:proofErr w:type="spellStart"/>
      <w:r>
        <w:rPr>
          <w:rFonts w:ascii="Tw Cen MT" w:hAnsi="Tw Cen MT"/>
          <w:sz w:val="20"/>
        </w:rPr>
        <w:t>lʼesprit</w:t>
      </w:r>
      <w:proofErr w:type="spellEnd"/>
      <w:r>
        <w:rPr>
          <w:rFonts w:ascii="Tw Cen MT" w:hAnsi="Tw Cen MT"/>
          <w:sz w:val="20"/>
        </w:rPr>
        <w:t xml:space="preserve"> que : </w:t>
      </w:r>
    </w:p>
    <w:p w14:paraId="1DB6A6C9" w14:textId="5618950C" w:rsidR="0035746E" w:rsidRPr="00D86AFF" w:rsidRDefault="0035746E" w:rsidP="00607182">
      <w:pPr>
        <w:pStyle w:val="NoSpacing"/>
        <w:numPr>
          <w:ilvl w:val="0"/>
          <w:numId w:val="3"/>
        </w:numPr>
        <w:shd w:val="clear" w:color="auto" w:fill="F2F2F2" w:themeFill="background1" w:themeFillShade="F2"/>
        <w:rPr>
          <w:rFonts w:ascii="Tw Cen MT" w:hAnsi="Tw Cen MT" w:cstheme="majorHAnsi"/>
          <w:sz w:val="20"/>
          <w:szCs w:val="20"/>
        </w:rPr>
      </w:pPr>
      <w:r>
        <w:rPr>
          <w:rFonts w:ascii="Tw Cen MT" w:hAnsi="Tw Cen MT"/>
          <w:sz w:val="20"/>
        </w:rPr>
        <w:t xml:space="preserve">Les informateurs clés non spécialisés sont souvent des </w:t>
      </w:r>
      <w:r>
        <w:rPr>
          <w:rFonts w:ascii="Tw Cen MT" w:hAnsi="Tw Cen MT"/>
          <w:b/>
          <w:sz w:val="20"/>
        </w:rPr>
        <w:t xml:space="preserve">hommes. </w:t>
      </w:r>
      <w:r>
        <w:rPr>
          <w:rFonts w:ascii="Tw Cen MT" w:hAnsi="Tw Cen MT"/>
          <w:sz w:val="20"/>
        </w:rPr>
        <w:t xml:space="preserve">Cela signifie que les questions doivent être soigneusement examinées, en particulier en matière de VBG. </w:t>
      </w:r>
      <w:r>
        <w:rPr>
          <w:rFonts w:ascii="Tw Cen MT" w:hAnsi="Tw Cen MT"/>
          <w:i/>
          <w:sz w:val="20"/>
        </w:rPr>
        <w:t>À quelles questions un informateur clé masculin pourra-t-il me fournir des informations de qualité sur les besoins de protection contre les VBG ou sur les risques de VBG ?</w:t>
      </w:r>
    </w:p>
    <w:p w14:paraId="03293781" w14:textId="77777777" w:rsidR="0035746E" w:rsidRDefault="0035746E" w:rsidP="00607182">
      <w:pPr>
        <w:pStyle w:val="NoSpacing"/>
        <w:numPr>
          <w:ilvl w:val="0"/>
          <w:numId w:val="3"/>
        </w:numPr>
        <w:shd w:val="clear" w:color="auto" w:fill="F2F2F2" w:themeFill="background1" w:themeFillShade="F2"/>
        <w:rPr>
          <w:rFonts w:ascii="Tw Cen MT" w:hAnsi="Tw Cen MT" w:cstheme="majorHAnsi"/>
          <w:sz w:val="20"/>
          <w:szCs w:val="20"/>
        </w:rPr>
      </w:pPr>
      <w:r>
        <w:rPr>
          <w:rFonts w:ascii="Tw Cen MT" w:hAnsi="Tw Cen MT"/>
          <w:sz w:val="20"/>
        </w:rPr>
        <w:t xml:space="preserve">Le nombre </w:t>
      </w:r>
      <w:proofErr w:type="spellStart"/>
      <w:r>
        <w:rPr>
          <w:rFonts w:ascii="Tw Cen MT" w:hAnsi="Tw Cen MT"/>
          <w:sz w:val="20"/>
        </w:rPr>
        <w:t>dʼentretiens</w:t>
      </w:r>
      <w:proofErr w:type="spellEnd"/>
      <w:r>
        <w:rPr>
          <w:rFonts w:ascii="Tw Cen MT" w:hAnsi="Tw Cen MT"/>
          <w:sz w:val="20"/>
        </w:rPr>
        <w:t xml:space="preserve"> réalisés </w:t>
      </w:r>
      <w:proofErr w:type="spellStart"/>
      <w:r>
        <w:rPr>
          <w:rFonts w:ascii="Tw Cen MT" w:hAnsi="Tw Cen MT"/>
          <w:sz w:val="20"/>
        </w:rPr>
        <w:t>nʼest</w:t>
      </w:r>
      <w:proofErr w:type="spellEnd"/>
      <w:r>
        <w:rPr>
          <w:rFonts w:ascii="Tw Cen MT" w:hAnsi="Tw Cen MT"/>
          <w:sz w:val="20"/>
        </w:rPr>
        <w:t xml:space="preserve"> généralement </w:t>
      </w:r>
      <w:r>
        <w:rPr>
          <w:rFonts w:ascii="Tw Cen MT" w:hAnsi="Tw Cen MT"/>
          <w:b/>
          <w:sz w:val="20"/>
        </w:rPr>
        <w:t>pas un échantillon représentatif</w:t>
      </w:r>
      <w:r>
        <w:rPr>
          <w:rFonts w:ascii="Tw Cen MT" w:hAnsi="Tw Cen MT"/>
          <w:sz w:val="20"/>
        </w:rPr>
        <w:t xml:space="preserve">. En </w:t>
      </w:r>
      <w:proofErr w:type="spellStart"/>
      <w:r>
        <w:rPr>
          <w:rFonts w:ascii="Tw Cen MT" w:hAnsi="Tw Cen MT"/>
          <w:sz w:val="20"/>
        </w:rPr>
        <w:t>dʼautres</w:t>
      </w:r>
      <w:proofErr w:type="spellEnd"/>
      <w:r>
        <w:rPr>
          <w:rFonts w:ascii="Tw Cen MT" w:hAnsi="Tw Cen MT"/>
          <w:sz w:val="20"/>
        </w:rPr>
        <w:t xml:space="preserve"> termes, les résultats ne peuvent pas être généralisés pour </w:t>
      </w:r>
      <w:proofErr w:type="spellStart"/>
      <w:r>
        <w:rPr>
          <w:rFonts w:ascii="Tw Cen MT" w:hAnsi="Tw Cen MT"/>
          <w:sz w:val="20"/>
        </w:rPr>
        <w:t>lʼensemble</w:t>
      </w:r>
      <w:proofErr w:type="spellEnd"/>
      <w:r>
        <w:rPr>
          <w:rFonts w:ascii="Tw Cen MT" w:hAnsi="Tw Cen MT"/>
          <w:sz w:val="20"/>
        </w:rPr>
        <w:t xml:space="preserve"> de la population touchée.</w:t>
      </w:r>
    </w:p>
    <w:p w14:paraId="5F42F21B" w14:textId="77777777" w:rsidR="0035746E" w:rsidRPr="00D86AFF" w:rsidRDefault="0035746E" w:rsidP="00607182">
      <w:pPr>
        <w:pStyle w:val="NoSpacing"/>
        <w:numPr>
          <w:ilvl w:val="0"/>
          <w:numId w:val="3"/>
        </w:numPr>
        <w:shd w:val="clear" w:color="auto" w:fill="F2F2F2" w:themeFill="background1" w:themeFillShade="F2"/>
        <w:rPr>
          <w:rFonts w:ascii="Tw Cen MT" w:hAnsi="Tw Cen MT" w:cstheme="majorHAnsi"/>
          <w:sz w:val="20"/>
          <w:szCs w:val="20"/>
        </w:rPr>
      </w:pPr>
      <w:r>
        <w:rPr>
          <w:rFonts w:ascii="Tw Cen MT" w:hAnsi="Tw Cen MT"/>
          <w:sz w:val="20"/>
        </w:rPr>
        <w:t xml:space="preserve">Les entretiens avec les informateurs clés sont généralement menés auprès des </w:t>
      </w:r>
      <w:r>
        <w:rPr>
          <w:rFonts w:ascii="Tw Cen MT" w:hAnsi="Tw Cen MT"/>
          <w:b/>
          <w:sz w:val="20"/>
        </w:rPr>
        <w:t>informateurs clés non spécialisés</w:t>
      </w:r>
      <w:r>
        <w:rPr>
          <w:rFonts w:ascii="Tw Cen MT" w:hAnsi="Tw Cen MT"/>
          <w:sz w:val="20"/>
        </w:rPr>
        <w:t xml:space="preserve">. Les questions doivent être conçues pour obtenir les informations nécessaires auprès de personnes qui ne sont pas des experts en matière de VBG et qui font partie de la culture locale. </w:t>
      </w:r>
    </w:p>
    <w:p w14:paraId="3D39A19A" w14:textId="77777777" w:rsidR="0035746E" w:rsidRPr="006F16B3" w:rsidRDefault="0035746E" w:rsidP="0001540A">
      <w:pPr>
        <w:pStyle w:val="NoSpacing"/>
        <w:jc w:val="both"/>
        <w:rPr>
          <w:rFonts w:ascii="Tw Cen MT" w:hAnsi="Tw Cen MT" w:cstheme="majorHAnsi"/>
          <w:sz w:val="20"/>
          <w:szCs w:val="20"/>
        </w:rPr>
      </w:pPr>
    </w:p>
    <w:p w14:paraId="0F0EA990" w14:textId="731118BC" w:rsidR="00C8216B" w:rsidRPr="006F16B3" w:rsidRDefault="00C8216B" w:rsidP="0001540A">
      <w:pPr>
        <w:pStyle w:val="NoSpacing"/>
        <w:jc w:val="both"/>
        <w:rPr>
          <w:rFonts w:ascii="Tw Cen MT" w:hAnsi="Tw Cen MT" w:cstheme="majorHAnsi"/>
          <w:sz w:val="20"/>
          <w:szCs w:val="20"/>
        </w:rPr>
      </w:pPr>
    </w:p>
    <w:p w14:paraId="2A2CE44E" w14:textId="00D061F9" w:rsidR="00BB425C" w:rsidRPr="00846E38" w:rsidRDefault="00FF653B" w:rsidP="00B54B16">
      <w:pPr>
        <w:pStyle w:val="NoSpacing"/>
        <w:numPr>
          <w:ilvl w:val="0"/>
          <w:numId w:val="21"/>
        </w:numPr>
        <w:rPr>
          <w:rFonts w:ascii="Tw Cen MT" w:hAnsi="Tw Cen MT" w:cs="Arial"/>
          <w:b/>
          <w:bCs/>
          <w:i/>
          <w:sz w:val="28"/>
          <w:u w:val="single"/>
        </w:rPr>
      </w:pPr>
      <w:proofErr w:type="spellStart"/>
      <w:r w:rsidRPr="00846E38">
        <w:rPr>
          <w:rFonts w:ascii="Tw Cen MT" w:hAnsi="Tw Cen MT"/>
          <w:b/>
          <w:bCs/>
          <w:i/>
          <w:sz w:val="28"/>
          <w:u w:val="single"/>
        </w:rPr>
        <w:t>Quʼest</w:t>
      </w:r>
      <w:proofErr w:type="spellEnd"/>
      <w:r w:rsidRPr="00846E38">
        <w:rPr>
          <w:rFonts w:ascii="Tw Cen MT" w:hAnsi="Tw Cen MT"/>
          <w:b/>
          <w:bCs/>
          <w:i/>
          <w:sz w:val="28"/>
          <w:u w:val="single"/>
        </w:rPr>
        <w:t xml:space="preserve">-ce que le DTM Field </w:t>
      </w:r>
      <w:proofErr w:type="spellStart"/>
      <w:r w:rsidRPr="00846E38">
        <w:rPr>
          <w:rFonts w:ascii="Tw Cen MT" w:hAnsi="Tw Cen MT"/>
          <w:b/>
          <w:bCs/>
          <w:i/>
          <w:sz w:val="28"/>
          <w:u w:val="single"/>
        </w:rPr>
        <w:t>Companion</w:t>
      </w:r>
      <w:proofErr w:type="spellEnd"/>
      <w:r w:rsidRPr="00846E38">
        <w:rPr>
          <w:rFonts w:ascii="Tw Cen MT" w:hAnsi="Tw Cen MT"/>
          <w:b/>
          <w:bCs/>
          <w:i/>
          <w:sz w:val="28"/>
          <w:u w:val="single"/>
        </w:rPr>
        <w:t> ?</w:t>
      </w:r>
    </w:p>
    <w:p w14:paraId="7BE02D22" w14:textId="665B9952" w:rsidR="00956271" w:rsidRDefault="00DB344F" w:rsidP="00D35A6E">
      <w:pPr>
        <w:pStyle w:val="NoSpacing"/>
        <w:jc w:val="both"/>
        <w:rPr>
          <w:rFonts w:ascii="Tw Cen MT" w:hAnsi="Tw Cen MT" w:cstheme="majorHAnsi"/>
          <w:sz w:val="20"/>
          <w:szCs w:val="20"/>
        </w:rPr>
      </w:pPr>
      <w:r>
        <w:rPr>
          <w:rFonts w:ascii="Tw Cen MT" w:hAnsi="Tw Cen MT"/>
          <w:sz w:val="20"/>
        </w:rPr>
        <w:t xml:space="preserve">Comme précédemment indiqué, le questionnaire DTM est conçu sur le terrain, par une collaboration entre la DTM et les partenaires. Au niveau mondial, toutefois, la DTM, les Clusters mondiaux et les partenaires, notamment les acteurs du domaine de responsabilité mondial VBG (global GBV </w:t>
      </w:r>
      <w:proofErr w:type="spellStart"/>
      <w:r>
        <w:rPr>
          <w:rFonts w:ascii="Tw Cen MT" w:hAnsi="Tw Cen MT"/>
          <w:sz w:val="20"/>
        </w:rPr>
        <w:t>AoR</w:t>
      </w:r>
      <w:proofErr w:type="spellEnd"/>
      <w:r>
        <w:rPr>
          <w:rFonts w:ascii="Tw Cen MT" w:hAnsi="Tw Cen MT"/>
          <w:sz w:val="20"/>
        </w:rPr>
        <w:t xml:space="preserve">), ont identifié des questions que les opérations sur le terrain peuvent utiliser dans leurs évaluations de site DTM. Ces questions figurent dans le DTM Field </w:t>
      </w:r>
      <w:proofErr w:type="spellStart"/>
      <w:r>
        <w:rPr>
          <w:rFonts w:ascii="Tw Cen MT" w:hAnsi="Tw Cen MT"/>
          <w:sz w:val="20"/>
        </w:rPr>
        <w:t>Companion</w:t>
      </w:r>
      <w:proofErr w:type="spellEnd"/>
      <w:r w:rsidR="00E72B44">
        <w:rPr>
          <w:rStyle w:val="FootnoteReference"/>
          <w:rFonts w:ascii="Tw Cen MT" w:hAnsi="Tw Cen MT" w:cstheme="majorHAnsi"/>
          <w:sz w:val="20"/>
          <w:szCs w:val="20"/>
          <w:lang w:val="en-US"/>
        </w:rPr>
        <w:footnoteReference w:id="1"/>
      </w:r>
      <w:r>
        <w:rPr>
          <w:rFonts w:ascii="Tw Cen MT" w:hAnsi="Tw Cen MT"/>
          <w:sz w:val="20"/>
        </w:rPr>
        <w:t>.</w:t>
      </w:r>
    </w:p>
    <w:p w14:paraId="78221F16" w14:textId="77777777" w:rsidR="00956271" w:rsidRPr="006F16B3" w:rsidRDefault="00956271" w:rsidP="00D35A6E">
      <w:pPr>
        <w:pStyle w:val="NoSpacing"/>
        <w:jc w:val="both"/>
        <w:rPr>
          <w:rFonts w:ascii="Tw Cen MT" w:hAnsi="Tw Cen MT" w:cstheme="majorHAnsi"/>
          <w:sz w:val="20"/>
          <w:szCs w:val="20"/>
        </w:rPr>
      </w:pPr>
    </w:p>
    <w:p w14:paraId="0AC92FDE" w14:textId="739390F9" w:rsidR="005A18CB" w:rsidRDefault="005A18CB" w:rsidP="00D35A6E">
      <w:pPr>
        <w:pStyle w:val="NoSpacing"/>
        <w:jc w:val="both"/>
        <w:rPr>
          <w:rFonts w:ascii="Tw Cen MT" w:hAnsi="Tw Cen MT" w:cstheme="majorHAnsi"/>
          <w:b/>
          <w:sz w:val="20"/>
          <w:szCs w:val="20"/>
        </w:rPr>
      </w:pPr>
      <w:r>
        <w:rPr>
          <w:rFonts w:ascii="Tw Cen MT" w:hAnsi="Tw Cen MT"/>
          <w:b/>
          <w:sz w:val="20"/>
        </w:rPr>
        <w:t xml:space="preserve">Les questions sur la VBG qui ont été incluses à titre d’options dans le Field </w:t>
      </w:r>
      <w:proofErr w:type="spellStart"/>
      <w:r>
        <w:rPr>
          <w:rFonts w:ascii="Tw Cen MT" w:hAnsi="Tw Cen MT"/>
          <w:b/>
          <w:sz w:val="20"/>
        </w:rPr>
        <w:t>Companion</w:t>
      </w:r>
      <w:proofErr w:type="spellEnd"/>
      <w:r>
        <w:rPr>
          <w:rFonts w:ascii="Tw Cen MT" w:hAnsi="Tw Cen MT"/>
          <w:b/>
          <w:sz w:val="20"/>
        </w:rPr>
        <w:t xml:space="preserve"> ont été soigneusement examinées ; elles sont considérées comme : </w:t>
      </w:r>
    </w:p>
    <w:p w14:paraId="0BF52237" w14:textId="25173D33" w:rsidR="005A18CB" w:rsidRDefault="005A18CB" w:rsidP="00846E38">
      <w:pPr>
        <w:pStyle w:val="NoSpacing"/>
        <w:numPr>
          <w:ilvl w:val="0"/>
          <w:numId w:val="19"/>
        </w:numPr>
        <w:ind w:left="709"/>
        <w:jc w:val="both"/>
        <w:rPr>
          <w:rFonts w:ascii="Tw Cen MT" w:hAnsi="Tw Cen MT" w:cstheme="majorHAnsi"/>
          <w:b/>
          <w:sz w:val="20"/>
          <w:szCs w:val="20"/>
        </w:rPr>
      </w:pPr>
      <w:r>
        <w:rPr>
          <w:rFonts w:ascii="Tw Cen MT" w:hAnsi="Tw Cen MT"/>
          <w:b/>
          <w:sz w:val="20"/>
        </w:rPr>
        <w:t xml:space="preserve">Sûres et déontologiques ; </w:t>
      </w:r>
    </w:p>
    <w:p w14:paraId="7263121B" w14:textId="081ACCAC" w:rsidR="005A18CB" w:rsidRDefault="005A18CB" w:rsidP="00846E38">
      <w:pPr>
        <w:pStyle w:val="NoSpacing"/>
        <w:numPr>
          <w:ilvl w:val="0"/>
          <w:numId w:val="19"/>
        </w:numPr>
        <w:ind w:left="709"/>
        <w:jc w:val="both"/>
        <w:rPr>
          <w:rFonts w:ascii="Tw Cen MT" w:hAnsi="Tw Cen MT" w:cstheme="majorHAnsi"/>
          <w:b/>
          <w:sz w:val="20"/>
          <w:szCs w:val="20"/>
        </w:rPr>
      </w:pPr>
      <w:r>
        <w:rPr>
          <w:rFonts w:ascii="Tw Cen MT" w:hAnsi="Tw Cen MT"/>
          <w:b/>
          <w:sz w:val="20"/>
        </w:rPr>
        <w:t>Donnant des informations qui peuvent être utilisées pour la prise de décision stratégique ou opérationnelle ;</w:t>
      </w:r>
    </w:p>
    <w:p w14:paraId="74DB0061" w14:textId="4150EBD8" w:rsidR="005A18CB" w:rsidRDefault="005A18CB" w:rsidP="00846E38">
      <w:pPr>
        <w:pStyle w:val="NoSpacing"/>
        <w:numPr>
          <w:ilvl w:val="0"/>
          <w:numId w:val="19"/>
        </w:numPr>
        <w:ind w:left="709"/>
        <w:jc w:val="both"/>
        <w:rPr>
          <w:rFonts w:ascii="Tw Cen MT" w:hAnsi="Tw Cen MT" w:cstheme="majorHAnsi"/>
          <w:b/>
          <w:sz w:val="20"/>
          <w:szCs w:val="20"/>
        </w:rPr>
      </w:pPr>
      <w:r>
        <w:rPr>
          <w:rFonts w:ascii="Tw Cen MT" w:hAnsi="Tw Cen MT"/>
          <w:b/>
          <w:sz w:val="20"/>
        </w:rPr>
        <w:t xml:space="preserve">Pouvant apporter des réponses utiles, tout en gardant à </w:t>
      </w:r>
      <w:proofErr w:type="spellStart"/>
      <w:r>
        <w:rPr>
          <w:rFonts w:ascii="Tw Cen MT" w:hAnsi="Tw Cen MT"/>
          <w:b/>
          <w:sz w:val="20"/>
        </w:rPr>
        <w:t>lʼesprit</w:t>
      </w:r>
      <w:proofErr w:type="spellEnd"/>
      <w:r>
        <w:rPr>
          <w:rFonts w:ascii="Tw Cen MT" w:hAnsi="Tw Cen MT"/>
          <w:b/>
          <w:sz w:val="20"/>
        </w:rPr>
        <w:t xml:space="preserve"> que souvent, ce sont des informateurs clés non spécialisés de sexe masculin qui répondent aux questions.</w:t>
      </w:r>
    </w:p>
    <w:p w14:paraId="5C94A085" w14:textId="20148E05" w:rsidR="005D25D1" w:rsidRPr="006F16B3" w:rsidRDefault="005D25D1" w:rsidP="00D35A6E">
      <w:pPr>
        <w:pStyle w:val="NoSpacing"/>
        <w:jc w:val="both"/>
        <w:rPr>
          <w:rFonts w:ascii="Tw Cen MT" w:hAnsi="Tw Cen MT" w:cstheme="majorHAnsi"/>
          <w:sz w:val="20"/>
          <w:szCs w:val="20"/>
        </w:rPr>
      </w:pPr>
    </w:p>
    <w:p w14:paraId="67B0D150" w14:textId="2000240E" w:rsidR="00956271" w:rsidRDefault="00956271" w:rsidP="00FC676D">
      <w:pPr>
        <w:pStyle w:val="NoSpacing"/>
        <w:jc w:val="both"/>
        <w:rPr>
          <w:rFonts w:ascii="Tw Cen MT" w:hAnsi="Tw Cen MT" w:cstheme="majorHAnsi"/>
          <w:sz w:val="20"/>
          <w:szCs w:val="20"/>
        </w:rPr>
      </w:pPr>
      <w:r>
        <w:rPr>
          <w:rFonts w:ascii="Tw Cen MT" w:hAnsi="Tw Cen MT"/>
          <w:sz w:val="20"/>
        </w:rPr>
        <w:t xml:space="preserve">Le coordinateur DTM, le spécialiste de la gestion de </w:t>
      </w:r>
      <w:proofErr w:type="spellStart"/>
      <w:r>
        <w:rPr>
          <w:rFonts w:ascii="Tw Cen MT" w:hAnsi="Tw Cen MT"/>
          <w:sz w:val="20"/>
        </w:rPr>
        <w:t>lʼinformation</w:t>
      </w:r>
      <w:proofErr w:type="spellEnd"/>
      <w:r>
        <w:rPr>
          <w:rFonts w:ascii="Tw Cen MT" w:hAnsi="Tw Cen MT"/>
          <w:sz w:val="20"/>
        </w:rPr>
        <w:t xml:space="preserve"> (SGI) du sous-cluster VBG et le coordinateur du sous-cluster VBG coopèrent pour sélectionner et adapter à leur contexte les questions du DTM Field </w:t>
      </w:r>
      <w:proofErr w:type="spellStart"/>
      <w:r>
        <w:rPr>
          <w:rFonts w:ascii="Tw Cen MT" w:hAnsi="Tw Cen MT"/>
          <w:sz w:val="20"/>
        </w:rPr>
        <w:t>Companion</w:t>
      </w:r>
      <w:proofErr w:type="spellEnd"/>
      <w:r>
        <w:rPr>
          <w:rFonts w:ascii="Tw Cen MT" w:hAnsi="Tw Cen MT"/>
          <w:sz w:val="20"/>
        </w:rPr>
        <w:t xml:space="preserve"> qui devraient figurer dans le questionnaire DTM. </w:t>
      </w:r>
    </w:p>
    <w:p w14:paraId="2BC203AD" w14:textId="77777777" w:rsidR="00C05F79" w:rsidRPr="006F16B3" w:rsidRDefault="00C05F79" w:rsidP="007F5E63">
      <w:pPr>
        <w:pStyle w:val="NoSpacing"/>
        <w:jc w:val="both"/>
        <w:rPr>
          <w:rFonts w:ascii="Tw Cen MT" w:hAnsi="Tw Cen MT" w:cstheme="majorHAnsi"/>
          <w:sz w:val="20"/>
          <w:szCs w:val="20"/>
        </w:rPr>
      </w:pPr>
    </w:p>
    <w:p w14:paraId="0BF07459" w14:textId="0C78592D" w:rsidR="00C05F79" w:rsidRPr="00300831" w:rsidRDefault="00300831" w:rsidP="0082266E">
      <w:pPr>
        <w:pStyle w:val="NoSpacing"/>
        <w:rPr>
          <w:rFonts w:ascii="Tw Cen MT" w:hAnsi="Tw Cen MT" w:cs="Arial"/>
          <w:sz w:val="24"/>
        </w:rPr>
      </w:pPr>
      <w:r>
        <w:rPr>
          <w:rFonts w:ascii="Tw Cen MT" w:hAnsi="Tw Cen MT"/>
          <w:sz w:val="24"/>
        </w:rPr>
        <w:t xml:space="preserve">Quels types de questions se trouvent dans le DTM Field </w:t>
      </w:r>
      <w:proofErr w:type="spellStart"/>
      <w:r>
        <w:rPr>
          <w:rFonts w:ascii="Tw Cen MT" w:hAnsi="Tw Cen MT"/>
          <w:sz w:val="24"/>
        </w:rPr>
        <w:t>Companion</w:t>
      </w:r>
      <w:proofErr w:type="spellEnd"/>
      <w:r>
        <w:rPr>
          <w:rFonts w:ascii="Tw Cen MT" w:hAnsi="Tw Cen MT"/>
          <w:sz w:val="24"/>
        </w:rPr>
        <w:t> ?</w:t>
      </w:r>
    </w:p>
    <w:p w14:paraId="2B190129" w14:textId="1B45E992" w:rsidR="007F5E63" w:rsidRPr="00CB5782" w:rsidRDefault="000D326D" w:rsidP="007F5E63">
      <w:pPr>
        <w:pStyle w:val="NoSpacing"/>
        <w:jc w:val="both"/>
        <w:rPr>
          <w:rFonts w:ascii="Tw Cen MT" w:hAnsi="Tw Cen MT" w:cstheme="majorHAnsi"/>
          <w:sz w:val="20"/>
          <w:szCs w:val="20"/>
        </w:rPr>
      </w:pPr>
      <w:r>
        <w:rPr>
          <w:rFonts w:ascii="Tw Cen MT" w:hAnsi="Tw Cen MT"/>
          <w:sz w:val="20"/>
        </w:rPr>
        <w:t xml:space="preserve">Le Field </w:t>
      </w:r>
      <w:proofErr w:type="spellStart"/>
      <w:r>
        <w:rPr>
          <w:rFonts w:ascii="Tw Cen MT" w:hAnsi="Tw Cen MT"/>
          <w:sz w:val="20"/>
        </w:rPr>
        <w:t>Companion</w:t>
      </w:r>
      <w:proofErr w:type="spellEnd"/>
      <w:r>
        <w:rPr>
          <w:rFonts w:ascii="Tw Cen MT" w:hAnsi="Tw Cen MT"/>
          <w:sz w:val="20"/>
        </w:rPr>
        <w:t xml:space="preserve"> comporte des questions qui peuvent être largement regroupées en quatre catégories différentes : </w:t>
      </w:r>
    </w:p>
    <w:p w14:paraId="794E3CB6" w14:textId="77777777" w:rsidR="000D326D" w:rsidRPr="006F16B3" w:rsidRDefault="000D326D" w:rsidP="007F5E63">
      <w:pPr>
        <w:pStyle w:val="NoSpacing"/>
        <w:jc w:val="both"/>
        <w:rPr>
          <w:rFonts w:ascii="Tw Cen MT" w:hAnsi="Tw Cen MT" w:cstheme="majorHAnsi"/>
          <w:sz w:val="20"/>
          <w:szCs w:val="20"/>
        </w:rPr>
      </w:pPr>
    </w:p>
    <w:p w14:paraId="3E1C3C2F" w14:textId="39B6F7C2" w:rsidR="00764680" w:rsidRDefault="000D326D" w:rsidP="000D326D">
      <w:pPr>
        <w:pStyle w:val="NoSpacing"/>
        <w:numPr>
          <w:ilvl w:val="0"/>
          <w:numId w:val="5"/>
        </w:numPr>
        <w:jc w:val="both"/>
        <w:rPr>
          <w:rFonts w:ascii="Tw Cen MT" w:hAnsi="Tw Cen MT" w:cstheme="majorHAnsi"/>
          <w:sz w:val="20"/>
          <w:szCs w:val="20"/>
        </w:rPr>
      </w:pPr>
      <w:r>
        <w:rPr>
          <w:rFonts w:ascii="Tw Cen MT" w:hAnsi="Tw Cen MT"/>
          <w:b/>
          <w:sz w:val="20"/>
        </w:rPr>
        <w:t xml:space="preserve">Disponibilité des services VBG : </w:t>
      </w:r>
      <w:r>
        <w:rPr>
          <w:rFonts w:ascii="Tw Cen MT" w:hAnsi="Tw Cen MT"/>
          <w:sz w:val="20"/>
        </w:rPr>
        <w:t xml:space="preserve">Examiner </w:t>
      </w:r>
      <w:proofErr w:type="spellStart"/>
      <w:r>
        <w:rPr>
          <w:rFonts w:ascii="Tw Cen MT" w:hAnsi="Tw Cen MT"/>
          <w:sz w:val="20"/>
        </w:rPr>
        <w:t>sʼil</w:t>
      </w:r>
      <w:proofErr w:type="spellEnd"/>
      <w:r>
        <w:rPr>
          <w:rFonts w:ascii="Tw Cen MT" w:hAnsi="Tw Cen MT"/>
          <w:sz w:val="20"/>
        </w:rPr>
        <w:t xml:space="preserve"> existe des services VBG tels que des espaces adaptés aux femmes, des services de gestion de cas, etc. </w:t>
      </w:r>
    </w:p>
    <w:p w14:paraId="429F7660" w14:textId="77777777" w:rsidR="00764680" w:rsidRPr="006F16B3" w:rsidRDefault="00764680" w:rsidP="00764680">
      <w:pPr>
        <w:pStyle w:val="NoSpacing"/>
        <w:ind w:left="720"/>
        <w:jc w:val="both"/>
        <w:rPr>
          <w:rFonts w:ascii="Tw Cen MT" w:hAnsi="Tw Cen MT" w:cstheme="majorHAnsi"/>
          <w:b/>
          <w:i/>
          <w:sz w:val="20"/>
          <w:szCs w:val="20"/>
        </w:rPr>
      </w:pPr>
    </w:p>
    <w:p w14:paraId="6830013C" w14:textId="72A71B45" w:rsidR="00764680" w:rsidRDefault="00764680" w:rsidP="00764680">
      <w:pPr>
        <w:pStyle w:val="NoSpacing"/>
        <w:ind w:left="720"/>
        <w:jc w:val="both"/>
        <w:rPr>
          <w:rFonts w:ascii="Tw Cen MT" w:hAnsi="Tw Cen MT" w:cstheme="majorHAnsi"/>
          <w:sz w:val="20"/>
          <w:szCs w:val="20"/>
        </w:rPr>
      </w:pPr>
      <w:r>
        <w:rPr>
          <w:rFonts w:ascii="Tw Cen MT" w:hAnsi="Tw Cen MT"/>
          <w:i/>
          <w:sz w:val="20"/>
        </w:rPr>
        <w:lastRenderedPageBreak/>
        <w:t xml:space="preserve">Pourquoi les inclure ? </w:t>
      </w:r>
      <w:r>
        <w:rPr>
          <w:rFonts w:ascii="Tw Cen MT" w:hAnsi="Tw Cen MT"/>
          <w:sz w:val="20"/>
        </w:rPr>
        <w:t xml:space="preserve">Ces questions peuvent être posées à des informateurs clés spécialisés ou à des informateurs clés non spécialisés (la population touchée connaît-elle les services que vous offrez ?). Cela peut être fait </w:t>
      </w:r>
    </w:p>
    <w:p w14:paraId="5AEF4A5E" w14:textId="3B4BADE9" w:rsidR="00764680" w:rsidRDefault="00764680" w:rsidP="00846E38">
      <w:pPr>
        <w:pStyle w:val="NoSpacing"/>
        <w:numPr>
          <w:ilvl w:val="0"/>
          <w:numId w:val="9"/>
        </w:numPr>
        <w:ind w:left="993"/>
        <w:jc w:val="both"/>
        <w:rPr>
          <w:rFonts w:ascii="Tw Cen MT" w:hAnsi="Tw Cen MT" w:cstheme="majorHAnsi"/>
          <w:sz w:val="20"/>
          <w:szCs w:val="20"/>
        </w:rPr>
      </w:pPr>
      <w:proofErr w:type="gramStart"/>
      <w:r>
        <w:rPr>
          <w:rFonts w:ascii="Tw Cen MT" w:hAnsi="Tw Cen MT"/>
          <w:sz w:val="20"/>
        </w:rPr>
        <w:t>au</w:t>
      </w:r>
      <w:proofErr w:type="gramEnd"/>
      <w:r>
        <w:rPr>
          <w:rFonts w:ascii="Tw Cen MT" w:hAnsi="Tw Cen MT"/>
          <w:sz w:val="20"/>
        </w:rPr>
        <w:t xml:space="preserve"> début </w:t>
      </w:r>
      <w:proofErr w:type="spellStart"/>
      <w:r>
        <w:rPr>
          <w:rFonts w:ascii="Tw Cen MT" w:hAnsi="Tw Cen MT"/>
          <w:sz w:val="20"/>
        </w:rPr>
        <w:t>dʼune</w:t>
      </w:r>
      <w:proofErr w:type="spellEnd"/>
      <w:r>
        <w:rPr>
          <w:rFonts w:ascii="Tw Cen MT" w:hAnsi="Tw Cen MT"/>
          <w:sz w:val="20"/>
        </w:rPr>
        <w:t xml:space="preserve"> urgence, afin de déterminer quels services sont disponibles</w:t>
      </w:r>
    </w:p>
    <w:p w14:paraId="497C0282" w14:textId="6A6A390A" w:rsidR="000D326D" w:rsidRDefault="00DA08CD" w:rsidP="00846E38">
      <w:pPr>
        <w:pStyle w:val="NoSpacing"/>
        <w:numPr>
          <w:ilvl w:val="0"/>
          <w:numId w:val="9"/>
        </w:numPr>
        <w:ind w:left="993"/>
        <w:jc w:val="both"/>
        <w:rPr>
          <w:rFonts w:ascii="Tw Cen MT" w:hAnsi="Tw Cen MT" w:cstheme="majorHAnsi"/>
          <w:sz w:val="20"/>
          <w:szCs w:val="20"/>
        </w:rPr>
      </w:pPr>
      <w:r>
        <w:rPr>
          <w:rFonts w:ascii="Tw Cen MT" w:hAnsi="Tw Cen MT"/>
          <w:sz w:val="20"/>
        </w:rPr>
        <w:t>pour trianguler les données avec 3Ws et recenser les lacunes</w:t>
      </w:r>
    </w:p>
    <w:p w14:paraId="081B2434" w14:textId="38D9AA32" w:rsidR="00764680" w:rsidRPr="00CB5782" w:rsidRDefault="00764680" w:rsidP="00846E38">
      <w:pPr>
        <w:pStyle w:val="NoSpacing"/>
        <w:numPr>
          <w:ilvl w:val="0"/>
          <w:numId w:val="9"/>
        </w:numPr>
        <w:ind w:left="993"/>
        <w:jc w:val="both"/>
        <w:rPr>
          <w:rFonts w:ascii="Tw Cen MT" w:hAnsi="Tw Cen MT" w:cstheme="majorHAnsi"/>
          <w:sz w:val="20"/>
          <w:szCs w:val="20"/>
        </w:rPr>
      </w:pPr>
      <w:r>
        <w:rPr>
          <w:rFonts w:ascii="Tw Cen MT" w:hAnsi="Tw Cen MT"/>
          <w:sz w:val="20"/>
        </w:rPr>
        <w:t xml:space="preserve">Comprendre la perception des gens : si les services sont disponibles quelque part (selon 3Ws) mais que les informateurs clés </w:t>
      </w:r>
      <w:proofErr w:type="spellStart"/>
      <w:r>
        <w:rPr>
          <w:rFonts w:ascii="Tw Cen MT" w:hAnsi="Tw Cen MT"/>
          <w:sz w:val="20"/>
        </w:rPr>
        <w:t>lʼignorent</w:t>
      </w:r>
      <w:proofErr w:type="spellEnd"/>
      <w:r>
        <w:rPr>
          <w:rFonts w:ascii="Tw Cen MT" w:hAnsi="Tw Cen MT"/>
          <w:sz w:val="20"/>
        </w:rPr>
        <w:t xml:space="preserve"> – pourquoi pas ? </w:t>
      </w:r>
    </w:p>
    <w:p w14:paraId="357920C0" w14:textId="77777777" w:rsidR="00DA08CD" w:rsidRPr="006F16B3" w:rsidRDefault="00DA08CD" w:rsidP="00DA08CD">
      <w:pPr>
        <w:pStyle w:val="NoSpacing"/>
        <w:ind w:left="720"/>
        <w:jc w:val="both"/>
        <w:rPr>
          <w:rFonts w:ascii="Tw Cen MT" w:hAnsi="Tw Cen MT" w:cstheme="majorHAnsi"/>
          <w:sz w:val="20"/>
          <w:szCs w:val="20"/>
        </w:rPr>
      </w:pPr>
    </w:p>
    <w:p w14:paraId="61BCE1C0" w14:textId="77777777" w:rsidR="00B7229D" w:rsidRPr="00E42AFB" w:rsidRDefault="00B7229D" w:rsidP="00B7229D">
      <w:pPr>
        <w:pStyle w:val="NoSpacing"/>
        <w:numPr>
          <w:ilvl w:val="0"/>
          <w:numId w:val="5"/>
        </w:numPr>
        <w:jc w:val="both"/>
        <w:rPr>
          <w:rFonts w:ascii="Tw Cen MT" w:hAnsi="Tw Cen MT" w:cstheme="majorHAnsi"/>
          <w:sz w:val="20"/>
          <w:szCs w:val="20"/>
        </w:rPr>
      </w:pPr>
      <w:r w:rsidRPr="00E42AFB">
        <w:rPr>
          <w:rFonts w:ascii="Tw Cen MT" w:hAnsi="Tw Cen MT" w:cstheme="majorHAnsi"/>
          <w:b/>
          <w:bCs/>
          <w:sz w:val="20"/>
          <w:szCs w:val="20"/>
        </w:rPr>
        <w:t>Distance et le coût qui peuvent être des freins à l'accès aux biens et services de base</w:t>
      </w:r>
      <w:r w:rsidRPr="00E42AFB">
        <w:rPr>
          <w:rFonts w:ascii="Tw Cen MT" w:hAnsi="Tw Cen MT" w:cstheme="majorHAnsi"/>
          <w:sz w:val="20"/>
          <w:szCs w:val="20"/>
        </w:rPr>
        <w:t xml:space="preserve"> : distance des centres de santé, des écoles, des distributions de vivres ou de NFI, et les services de santé et d'éducation uniquement accessibles moyennant paiement…</w:t>
      </w:r>
    </w:p>
    <w:p w14:paraId="37538AD9" w14:textId="77777777" w:rsidR="00B7229D" w:rsidRPr="00E42AFB" w:rsidRDefault="00B7229D" w:rsidP="00764680">
      <w:pPr>
        <w:pStyle w:val="NoSpacing"/>
        <w:ind w:left="720"/>
        <w:jc w:val="both"/>
        <w:rPr>
          <w:rFonts w:ascii="Tw Cen MT" w:hAnsi="Tw Cen MT"/>
          <w:i/>
          <w:sz w:val="20"/>
        </w:rPr>
      </w:pPr>
    </w:p>
    <w:p w14:paraId="6C2EC75E" w14:textId="613B2E39" w:rsidR="00764680" w:rsidRPr="00E42AFB" w:rsidRDefault="00764680" w:rsidP="00764680">
      <w:pPr>
        <w:pStyle w:val="NoSpacing"/>
        <w:ind w:left="720"/>
        <w:jc w:val="both"/>
        <w:rPr>
          <w:rFonts w:ascii="Tw Cen MT" w:hAnsi="Tw Cen MT" w:cstheme="majorHAnsi"/>
          <w:sz w:val="20"/>
          <w:szCs w:val="20"/>
        </w:rPr>
      </w:pPr>
      <w:r w:rsidRPr="00E42AFB">
        <w:rPr>
          <w:rFonts w:ascii="Tw Cen MT" w:hAnsi="Tw Cen MT"/>
          <w:i/>
          <w:sz w:val="20"/>
        </w:rPr>
        <w:t xml:space="preserve">Pourquoi les inclure ? </w:t>
      </w:r>
      <w:r w:rsidR="00B7229D" w:rsidRPr="00E42AFB">
        <w:rPr>
          <w:rFonts w:ascii="Tw Cen MT" w:hAnsi="Tw Cen MT" w:cstheme="majorHAnsi"/>
          <w:sz w:val="20"/>
          <w:szCs w:val="20"/>
        </w:rPr>
        <w:t>Ces questions peuvent être posées aux informateurs clés, afin de </w:t>
      </w:r>
      <w:r w:rsidRPr="00E42AFB">
        <w:rPr>
          <w:rFonts w:ascii="Tw Cen MT" w:hAnsi="Tw Cen MT"/>
          <w:sz w:val="20"/>
        </w:rPr>
        <w:t xml:space="preserve">: </w:t>
      </w:r>
    </w:p>
    <w:p w14:paraId="61AFD327" w14:textId="77777777" w:rsidR="000C2784" w:rsidRPr="00E42AFB" w:rsidRDefault="000C2784" w:rsidP="000C2784">
      <w:pPr>
        <w:pStyle w:val="NoSpacing"/>
        <w:numPr>
          <w:ilvl w:val="0"/>
          <w:numId w:val="11"/>
        </w:numPr>
        <w:ind w:left="993"/>
        <w:jc w:val="both"/>
        <w:rPr>
          <w:rFonts w:ascii="Tw Cen MT" w:hAnsi="Tw Cen MT" w:cstheme="majorHAnsi"/>
          <w:sz w:val="20"/>
          <w:szCs w:val="20"/>
        </w:rPr>
      </w:pPr>
      <w:r w:rsidRPr="00E42AFB">
        <w:rPr>
          <w:rFonts w:ascii="Tw Cen MT" w:hAnsi="Tw Cen MT" w:cstheme="majorHAnsi"/>
          <w:sz w:val="20"/>
          <w:szCs w:val="20"/>
        </w:rPr>
        <w:t>Comprendre les obstacles spécifiques à l'accès aux services</w:t>
      </w:r>
    </w:p>
    <w:p w14:paraId="6D998C6A" w14:textId="379CEA57" w:rsidR="00B632DF" w:rsidRPr="00E42AFB" w:rsidRDefault="00764680" w:rsidP="00B7229D">
      <w:pPr>
        <w:pStyle w:val="NoSpacing"/>
        <w:numPr>
          <w:ilvl w:val="0"/>
          <w:numId w:val="11"/>
        </w:numPr>
        <w:ind w:left="993"/>
        <w:jc w:val="both"/>
        <w:rPr>
          <w:rFonts w:ascii="Tw Cen MT" w:hAnsi="Tw Cen MT" w:cstheme="majorHAnsi"/>
          <w:sz w:val="20"/>
          <w:szCs w:val="20"/>
        </w:rPr>
      </w:pPr>
      <w:r w:rsidRPr="00E42AFB">
        <w:rPr>
          <w:rFonts w:ascii="Tw Cen MT" w:hAnsi="Tw Cen MT"/>
          <w:sz w:val="20"/>
        </w:rPr>
        <w:t xml:space="preserve">De recenser les lacunes </w:t>
      </w:r>
      <w:r w:rsidR="00B7229D" w:rsidRPr="00E42AFB">
        <w:rPr>
          <w:rFonts w:ascii="Tw Cen MT" w:hAnsi="Tw Cen MT" w:cstheme="majorHAnsi"/>
          <w:sz w:val="20"/>
          <w:szCs w:val="20"/>
        </w:rPr>
        <w:t>dans l'accès aux services</w:t>
      </w:r>
    </w:p>
    <w:p w14:paraId="69DD9A6D" w14:textId="77777777" w:rsidR="00B7229D" w:rsidRPr="00B7229D" w:rsidRDefault="00B7229D" w:rsidP="00B7229D">
      <w:pPr>
        <w:pStyle w:val="NoSpacing"/>
        <w:ind w:left="720"/>
        <w:jc w:val="both"/>
        <w:rPr>
          <w:rFonts w:ascii="Tw Cen MT" w:hAnsi="Tw Cen MT" w:cstheme="majorHAnsi"/>
          <w:sz w:val="20"/>
          <w:szCs w:val="20"/>
        </w:rPr>
      </w:pPr>
    </w:p>
    <w:p w14:paraId="36ACBECA" w14:textId="16DB4F16" w:rsidR="00166F86" w:rsidRDefault="000D326D" w:rsidP="00166F86">
      <w:pPr>
        <w:pStyle w:val="NoSpacing"/>
        <w:numPr>
          <w:ilvl w:val="0"/>
          <w:numId w:val="5"/>
        </w:numPr>
        <w:jc w:val="both"/>
        <w:rPr>
          <w:rFonts w:ascii="Tw Cen MT" w:hAnsi="Tw Cen MT" w:cstheme="majorHAnsi"/>
          <w:sz w:val="20"/>
          <w:szCs w:val="20"/>
        </w:rPr>
      </w:pPr>
      <w:r>
        <w:rPr>
          <w:rFonts w:ascii="Tw Cen MT" w:hAnsi="Tw Cen MT"/>
          <w:b/>
          <w:sz w:val="20"/>
        </w:rPr>
        <w:t xml:space="preserve">Questions générales sur la protection contre la VBG : </w:t>
      </w:r>
      <w:r>
        <w:rPr>
          <w:rFonts w:ascii="Tw Cen MT" w:hAnsi="Tw Cen MT"/>
          <w:sz w:val="20"/>
        </w:rPr>
        <w:t xml:space="preserve">Questions qui </w:t>
      </w:r>
      <w:proofErr w:type="spellStart"/>
      <w:r>
        <w:rPr>
          <w:rFonts w:ascii="Tw Cen MT" w:hAnsi="Tw Cen MT"/>
          <w:sz w:val="20"/>
        </w:rPr>
        <w:t>sʼadressent</w:t>
      </w:r>
      <w:proofErr w:type="spellEnd"/>
      <w:r>
        <w:rPr>
          <w:rFonts w:ascii="Tw Cen MT" w:hAnsi="Tw Cen MT"/>
          <w:sz w:val="20"/>
        </w:rPr>
        <w:t xml:space="preserve"> principalement à la population touchée et donnent des indications sur les questions de sûreté, de sécurité et de protection, les zones que les gens ont tendance à éviter, qui assure la sécurité sur le site, etc. </w:t>
      </w:r>
    </w:p>
    <w:p w14:paraId="1493C9B4" w14:textId="04ADC880" w:rsidR="00E4309B" w:rsidRPr="006F16B3" w:rsidRDefault="00E4309B" w:rsidP="00E4309B">
      <w:pPr>
        <w:pStyle w:val="NoSpacing"/>
        <w:ind w:left="720"/>
        <w:jc w:val="both"/>
        <w:rPr>
          <w:rFonts w:ascii="Tw Cen MT" w:hAnsi="Tw Cen MT" w:cstheme="majorHAnsi"/>
          <w:b/>
          <w:sz w:val="20"/>
          <w:szCs w:val="20"/>
        </w:rPr>
      </w:pPr>
    </w:p>
    <w:p w14:paraId="19F17C44" w14:textId="2CAE25B6" w:rsidR="00E4309B" w:rsidRPr="00E4309B" w:rsidRDefault="00E4309B" w:rsidP="00E4309B">
      <w:pPr>
        <w:pStyle w:val="NoSpacing"/>
        <w:ind w:left="720"/>
        <w:jc w:val="both"/>
        <w:rPr>
          <w:rFonts w:ascii="Tw Cen MT" w:hAnsi="Tw Cen MT" w:cstheme="majorHAnsi"/>
          <w:sz w:val="20"/>
          <w:szCs w:val="20"/>
        </w:rPr>
      </w:pPr>
      <w:r>
        <w:rPr>
          <w:rFonts w:ascii="Tw Cen MT" w:hAnsi="Tw Cen MT"/>
          <w:i/>
          <w:sz w:val="20"/>
        </w:rPr>
        <w:t xml:space="preserve">Pourquoi les inclure ? </w:t>
      </w:r>
      <w:r>
        <w:rPr>
          <w:rFonts w:ascii="Tw Cen MT" w:hAnsi="Tw Cen MT"/>
          <w:sz w:val="20"/>
        </w:rPr>
        <w:t xml:space="preserve">Ces questions sont posées aux informateurs clés spécialisés et non spécialisés. Les questions peuvent brosser un tableau de </w:t>
      </w:r>
      <w:proofErr w:type="spellStart"/>
      <w:r>
        <w:rPr>
          <w:rFonts w:ascii="Tw Cen MT" w:hAnsi="Tw Cen MT"/>
          <w:sz w:val="20"/>
        </w:rPr>
        <w:t>lʼenvironnement</w:t>
      </w:r>
      <w:proofErr w:type="spellEnd"/>
      <w:r>
        <w:rPr>
          <w:rFonts w:ascii="Tw Cen MT" w:hAnsi="Tw Cen MT"/>
          <w:sz w:val="20"/>
        </w:rPr>
        <w:t xml:space="preserve"> général de la protection et aider à façonner un récit plus qualitatif nécessaire pour dresser un tableau exhaustif.</w:t>
      </w:r>
    </w:p>
    <w:p w14:paraId="1C2014BD" w14:textId="77777777" w:rsidR="00DA08CD" w:rsidRPr="006F16B3" w:rsidRDefault="00DA08CD" w:rsidP="00DA08CD">
      <w:pPr>
        <w:pStyle w:val="NoSpacing"/>
        <w:jc w:val="both"/>
        <w:rPr>
          <w:rFonts w:ascii="Tw Cen MT" w:hAnsi="Tw Cen MT" w:cstheme="majorHAnsi"/>
          <w:sz w:val="20"/>
          <w:szCs w:val="20"/>
        </w:rPr>
      </w:pPr>
    </w:p>
    <w:p w14:paraId="4E9A3897" w14:textId="4571A82D" w:rsidR="007E272E" w:rsidRPr="00E42AFB" w:rsidRDefault="000D326D" w:rsidP="007E272E">
      <w:pPr>
        <w:pStyle w:val="NoSpacing"/>
        <w:numPr>
          <w:ilvl w:val="0"/>
          <w:numId w:val="5"/>
        </w:numPr>
        <w:jc w:val="both"/>
        <w:rPr>
          <w:rFonts w:ascii="Tw Cen MT" w:hAnsi="Tw Cen MT" w:cstheme="majorHAnsi"/>
          <w:sz w:val="20"/>
          <w:szCs w:val="20"/>
        </w:rPr>
      </w:pPr>
      <w:r>
        <w:rPr>
          <w:rFonts w:ascii="Tw Cen MT" w:hAnsi="Tw Cen MT"/>
          <w:b/>
          <w:sz w:val="20"/>
        </w:rPr>
        <w:t xml:space="preserve">Indicateurs indirects sur les risques de VBG : </w:t>
      </w:r>
      <w:r>
        <w:rPr>
          <w:rFonts w:ascii="Tw Cen MT" w:hAnsi="Tw Cen MT"/>
          <w:sz w:val="20"/>
        </w:rPr>
        <w:t xml:space="preserve">Questions qui examinent </w:t>
      </w:r>
      <w:r>
        <w:rPr>
          <w:rFonts w:ascii="Tw Cen MT" w:hAnsi="Tw Cen MT"/>
          <w:i/>
          <w:sz w:val="20"/>
        </w:rPr>
        <w:t>indirectement les</w:t>
      </w:r>
      <w:r>
        <w:rPr>
          <w:rFonts w:ascii="Tw Cen MT" w:hAnsi="Tw Cen MT"/>
          <w:sz w:val="20"/>
        </w:rPr>
        <w:t xml:space="preserve"> risques de VBG</w:t>
      </w:r>
      <w:r>
        <w:rPr>
          <w:rFonts w:ascii="Tw Cen MT" w:hAnsi="Tw Cen MT"/>
          <w:i/>
          <w:sz w:val="20"/>
        </w:rPr>
        <w:t xml:space="preserve">. </w:t>
      </w:r>
      <w:r>
        <w:rPr>
          <w:rFonts w:ascii="Tw Cen MT" w:hAnsi="Tw Cen MT"/>
          <w:sz w:val="20"/>
        </w:rPr>
        <w:t xml:space="preserve">En </w:t>
      </w:r>
      <w:proofErr w:type="spellStart"/>
      <w:r>
        <w:rPr>
          <w:rFonts w:ascii="Tw Cen MT" w:hAnsi="Tw Cen MT"/>
          <w:sz w:val="20"/>
        </w:rPr>
        <w:t>dʼautres</w:t>
      </w:r>
      <w:proofErr w:type="spellEnd"/>
      <w:r>
        <w:rPr>
          <w:rFonts w:ascii="Tw Cen MT" w:hAnsi="Tw Cen MT"/>
          <w:sz w:val="20"/>
        </w:rPr>
        <w:t xml:space="preserve"> termes, les indicateurs peuvent indiquer les zones géographiques qui présentent des risques élevés de VBG en fonction des besoins des autres secteurs (si les personnes sont confrontées à des besoins sévères dans </w:t>
      </w:r>
      <w:proofErr w:type="spellStart"/>
      <w:r>
        <w:rPr>
          <w:rFonts w:ascii="Tw Cen MT" w:hAnsi="Tw Cen MT"/>
          <w:sz w:val="20"/>
        </w:rPr>
        <w:t>dʼautres</w:t>
      </w:r>
      <w:proofErr w:type="spellEnd"/>
      <w:r>
        <w:rPr>
          <w:rFonts w:ascii="Tw Cen MT" w:hAnsi="Tw Cen MT"/>
          <w:sz w:val="20"/>
        </w:rPr>
        <w:t xml:space="preserve"> secteurs) et de </w:t>
      </w:r>
      <w:proofErr w:type="spellStart"/>
      <w:r>
        <w:rPr>
          <w:rFonts w:ascii="Tw Cen MT" w:hAnsi="Tw Cen MT"/>
          <w:sz w:val="20"/>
        </w:rPr>
        <w:t>lʼinfrastructure</w:t>
      </w:r>
      <w:proofErr w:type="spellEnd"/>
      <w:r>
        <w:rPr>
          <w:rFonts w:ascii="Tw Cen MT" w:hAnsi="Tw Cen MT"/>
          <w:sz w:val="20"/>
        </w:rPr>
        <w:t xml:space="preserve"> existante, mais </w:t>
      </w:r>
      <w:r>
        <w:rPr>
          <w:rFonts w:ascii="Tw Cen MT" w:hAnsi="Tw Cen MT"/>
          <w:i/>
          <w:sz w:val="20"/>
        </w:rPr>
        <w:t>aucune référence explicite</w:t>
      </w:r>
      <w:r>
        <w:rPr>
          <w:rFonts w:ascii="Tw Cen MT" w:hAnsi="Tw Cen MT"/>
          <w:sz w:val="20"/>
        </w:rPr>
        <w:t xml:space="preserve"> </w:t>
      </w:r>
      <w:proofErr w:type="spellStart"/>
      <w:r>
        <w:rPr>
          <w:rFonts w:ascii="Tw Cen MT" w:hAnsi="Tw Cen MT"/>
          <w:sz w:val="20"/>
        </w:rPr>
        <w:t>nʼest</w:t>
      </w:r>
      <w:proofErr w:type="spellEnd"/>
      <w:r>
        <w:rPr>
          <w:rFonts w:ascii="Tw Cen MT" w:hAnsi="Tw Cen MT"/>
          <w:sz w:val="20"/>
        </w:rPr>
        <w:t xml:space="preserve"> faite à la VBG. Les questions sont posées aux informateurs clés spécialisés et non spécialisés </w:t>
      </w:r>
      <w:r w:rsidRPr="00E42AFB">
        <w:rPr>
          <w:rFonts w:ascii="Tw Cen MT" w:hAnsi="Tw Cen MT"/>
          <w:sz w:val="20"/>
        </w:rPr>
        <w:t xml:space="preserve">(mais comme ce sont tous des indicateurs indirects, les questions ne sont probablement </w:t>
      </w:r>
      <w:r w:rsidRPr="00E42AFB">
        <w:rPr>
          <w:rFonts w:ascii="Tw Cen MT" w:hAnsi="Tw Cen MT"/>
          <w:i/>
          <w:sz w:val="20"/>
        </w:rPr>
        <w:t>pas</w:t>
      </w:r>
      <w:r w:rsidRPr="00E42AFB">
        <w:rPr>
          <w:rFonts w:ascii="Tw Cen MT" w:hAnsi="Tw Cen MT"/>
          <w:sz w:val="20"/>
        </w:rPr>
        <w:t xml:space="preserve"> posées aux acteurs de la VBG).</w:t>
      </w:r>
    </w:p>
    <w:p w14:paraId="457C9C44" w14:textId="77777777" w:rsidR="00E4309B" w:rsidRPr="00E42AFB" w:rsidRDefault="00E4309B" w:rsidP="00FE0A68">
      <w:pPr>
        <w:pStyle w:val="NoSpacing"/>
        <w:ind w:left="720"/>
        <w:jc w:val="both"/>
        <w:rPr>
          <w:rFonts w:ascii="Tw Cen MT" w:hAnsi="Tw Cen MT" w:cstheme="majorHAnsi"/>
          <w:sz w:val="20"/>
          <w:szCs w:val="20"/>
        </w:rPr>
      </w:pPr>
    </w:p>
    <w:p w14:paraId="576418E6" w14:textId="67D0B176" w:rsidR="002B75D1" w:rsidRPr="00E42AFB" w:rsidRDefault="007E272E" w:rsidP="007E272E">
      <w:pPr>
        <w:pStyle w:val="NoSpacing"/>
        <w:ind w:left="720"/>
        <w:jc w:val="both"/>
        <w:rPr>
          <w:rFonts w:ascii="Tw Cen MT" w:hAnsi="Tw Cen MT" w:cstheme="majorHAnsi"/>
          <w:sz w:val="20"/>
          <w:szCs w:val="20"/>
        </w:rPr>
      </w:pPr>
      <w:r w:rsidRPr="00E42AFB">
        <w:rPr>
          <w:rFonts w:ascii="Tw Cen MT" w:hAnsi="Tw Cen MT"/>
          <w:i/>
          <w:sz w:val="20"/>
        </w:rPr>
        <w:t xml:space="preserve">Pourquoi les utiliser : </w:t>
      </w:r>
      <w:r w:rsidRPr="00E42AFB">
        <w:rPr>
          <w:rFonts w:ascii="Tw Cen MT" w:hAnsi="Tw Cen MT"/>
          <w:sz w:val="20"/>
        </w:rPr>
        <w:t xml:space="preserve">Les indicateurs indirects donnent un aperçu de deux principaux domaines de la prise de décision </w:t>
      </w:r>
      <w:r w:rsidRPr="00E42AFB">
        <w:rPr>
          <w:rFonts w:ascii="Tw Cen MT" w:hAnsi="Tw Cen MT"/>
          <w:i/>
          <w:sz w:val="20"/>
        </w:rPr>
        <w:t>au</w:t>
      </w:r>
      <w:r w:rsidRPr="00E42AFB">
        <w:rPr>
          <w:rFonts w:ascii="Tw Cen MT" w:hAnsi="Tw Cen MT"/>
          <w:sz w:val="20"/>
        </w:rPr>
        <w:t xml:space="preserve"> niveau </w:t>
      </w:r>
      <w:r w:rsidRPr="00E42AFB">
        <w:rPr>
          <w:rFonts w:ascii="Tw Cen MT" w:hAnsi="Tw Cen MT"/>
          <w:i/>
          <w:sz w:val="20"/>
        </w:rPr>
        <w:t>stratégique</w:t>
      </w:r>
      <w:r w:rsidRPr="00E42AFB">
        <w:rPr>
          <w:rFonts w:ascii="Tw Cen MT" w:hAnsi="Tw Cen MT"/>
          <w:sz w:val="20"/>
        </w:rPr>
        <w:t xml:space="preserve"> et </w:t>
      </w:r>
      <w:r w:rsidRPr="00E42AFB">
        <w:rPr>
          <w:rFonts w:ascii="Tw Cen MT" w:hAnsi="Tw Cen MT"/>
          <w:i/>
          <w:sz w:val="20"/>
        </w:rPr>
        <w:t>opérationnel</w:t>
      </w:r>
      <w:r w:rsidRPr="00E42AFB">
        <w:rPr>
          <w:rFonts w:ascii="Tw Cen MT" w:hAnsi="Tw Cen MT"/>
          <w:sz w:val="20"/>
        </w:rPr>
        <w:t xml:space="preserve">. Étant donné que les indicateurs indirects pour </w:t>
      </w:r>
      <w:proofErr w:type="spellStart"/>
      <w:r w:rsidRPr="00E42AFB">
        <w:rPr>
          <w:rFonts w:ascii="Tw Cen MT" w:hAnsi="Tw Cen MT"/>
          <w:sz w:val="20"/>
        </w:rPr>
        <w:t>dʼautres</w:t>
      </w:r>
      <w:proofErr w:type="spellEnd"/>
      <w:r w:rsidRPr="00E42AFB">
        <w:rPr>
          <w:rFonts w:ascii="Tw Cen MT" w:hAnsi="Tw Cen MT"/>
          <w:sz w:val="20"/>
        </w:rPr>
        <w:t xml:space="preserve"> secteurs peuvent être </w:t>
      </w:r>
      <w:r w:rsidRPr="00E42AFB">
        <w:rPr>
          <w:rFonts w:ascii="Tw Cen MT" w:hAnsi="Tw Cen MT"/>
          <w:i/>
          <w:sz w:val="20"/>
        </w:rPr>
        <w:t>quantifiés</w:t>
      </w:r>
      <w:r w:rsidRPr="00E42AFB">
        <w:rPr>
          <w:rFonts w:ascii="Tw Cen MT" w:hAnsi="Tw Cen MT"/>
          <w:sz w:val="20"/>
        </w:rPr>
        <w:t xml:space="preserve">, ils peuvent également être utilisés pour construire des modèles de priorisation et décider où / sur quoi concentrer les efforts de réponse. </w:t>
      </w:r>
    </w:p>
    <w:p w14:paraId="2C1D9330" w14:textId="05A472A8" w:rsidR="00F12770" w:rsidRPr="00E42AFB" w:rsidRDefault="00F12770" w:rsidP="007E272E">
      <w:pPr>
        <w:pStyle w:val="NoSpacing"/>
        <w:ind w:left="720"/>
        <w:jc w:val="both"/>
        <w:rPr>
          <w:rFonts w:ascii="Tw Cen MT" w:hAnsi="Tw Cen MT" w:cstheme="majorHAnsi"/>
          <w:sz w:val="20"/>
          <w:szCs w:val="20"/>
        </w:rPr>
      </w:pPr>
    </w:p>
    <w:p w14:paraId="10CF3ED2" w14:textId="2EEB344A" w:rsidR="00F12770" w:rsidRPr="00E42AFB" w:rsidRDefault="00F12770" w:rsidP="007E272E">
      <w:pPr>
        <w:pStyle w:val="NoSpacing"/>
        <w:ind w:left="720"/>
        <w:jc w:val="both"/>
        <w:rPr>
          <w:rFonts w:ascii="Tw Cen MT" w:hAnsi="Tw Cen MT" w:cstheme="majorHAnsi"/>
          <w:sz w:val="20"/>
          <w:szCs w:val="20"/>
        </w:rPr>
      </w:pPr>
      <w:r w:rsidRPr="00E42AFB">
        <w:rPr>
          <w:rFonts w:ascii="Tw Cen MT" w:hAnsi="Tw Cen MT"/>
          <w:sz w:val="20"/>
        </w:rPr>
        <w:t xml:space="preserve">Ces indicateurs indirects peuvent donner un aperçu de plusieurs domaines : </w:t>
      </w:r>
    </w:p>
    <w:p w14:paraId="6627BF54" w14:textId="35EF6A1E" w:rsidR="00F12770" w:rsidRPr="00E42AFB" w:rsidRDefault="00E43655" w:rsidP="00846E38">
      <w:pPr>
        <w:pStyle w:val="NoSpacing"/>
        <w:numPr>
          <w:ilvl w:val="0"/>
          <w:numId w:val="17"/>
        </w:numPr>
        <w:ind w:left="851"/>
        <w:jc w:val="both"/>
        <w:rPr>
          <w:rFonts w:ascii="Tw Cen MT" w:hAnsi="Tw Cen MT" w:cstheme="majorHAnsi"/>
          <w:sz w:val="20"/>
          <w:szCs w:val="20"/>
        </w:rPr>
      </w:pPr>
      <w:r w:rsidRPr="00E42AFB">
        <w:rPr>
          <w:rFonts w:ascii="Tw Cen MT" w:hAnsi="Tw Cen MT"/>
          <w:sz w:val="20"/>
        </w:rPr>
        <w:t>Les indicateurs indirects ainsi que le recensement de la disponibilité des services VBG</w:t>
      </w:r>
      <w:r w:rsidR="000C2784" w:rsidRPr="00E42AFB">
        <w:rPr>
          <w:rFonts w:ascii="Tw Cen MT" w:hAnsi="Tw Cen MT"/>
          <w:sz w:val="20"/>
        </w:rPr>
        <w:t xml:space="preserve"> et </w:t>
      </w:r>
      <w:r w:rsidR="000C2784" w:rsidRPr="00E42AFB">
        <w:rPr>
          <w:rFonts w:ascii="Tw Cen MT" w:hAnsi="Tw Cen MT" w:cstheme="majorHAnsi"/>
          <w:sz w:val="20"/>
          <w:szCs w:val="20"/>
        </w:rPr>
        <w:t>informations sur la d</w:t>
      </w:r>
      <w:r w:rsidR="000C2784" w:rsidRPr="00E42AFB">
        <w:rPr>
          <w:rFonts w:ascii="Tw Cen MT" w:hAnsi="Tw Cen MT" w:cstheme="majorHAnsi"/>
          <w:sz w:val="20"/>
          <w:szCs w:val="20"/>
        </w:rPr>
        <w:t>istance et le coût</w:t>
      </w:r>
      <w:r w:rsidRPr="00E42AFB">
        <w:rPr>
          <w:rFonts w:ascii="Tw Cen MT" w:hAnsi="Tw Cen MT"/>
          <w:sz w:val="20"/>
        </w:rPr>
        <w:t xml:space="preserve"> </w:t>
      </w:r>
      <w:r w:rsidR="000C2784" w:rsidRPr="00E42AFB">
        <w:rPr>
          <w:rFonts w:ascii="Tw Cen MT" w:hAnsi="Tw Cen MT"/>
          <w:sz w:val="20"/>
        </w:rPr>
        <w:t xml:space="preserve">des </w:t>
      </w:r>
      <w:r w:rsidR="000C2784" w:rsidRPr="00E42AFB">
        <w:rPr>
          <w:rFonts w:ascii="Tw Cen MT" w:hAnsi="Tw Cen MT" w:cstheme="majorHAnsi"/>
          <w:sz w:val="20"/>
          <w:szCs w:val="20"/>
        </w:rPr>
        <w:t xml:space="preserve">biens et services de base </w:t>
      </w:r>
      <w:r w:rsidRPr="00E42AFB">
        <w:rPr>
          <w:rFonts w:ascii="Tw Cen MT" w:hAnsi="Tw Cen MT"/>
          <w:sz w:val="20"/>
        </w:rPr>
        <w:t>peuvent être combinés pour comprendre dans quelles zones géographiques les risques de VBG sont les plus élevés. Sur cette base, les acteurs peuvent décider où faire des évaluations de suivi qui peuvent conduire à une réponse possible.</w:t>
      </w:r>
    </w:p>
    <w:p w14:paraId="7AB0FDE9" w14:textId="77777777" w:rsidR="00F12770" w:rsidRPr="00E42AFB" w:rsidRDefault="00F12770" w:rsidP="00846E38">
      <w:pPr>
        <w:pStyle w:val="NoSpacing"/>
        <w:ind w:left="851"/>
        <w:jc w:val="both"/>
        <w:rPr>
          <w:rFonts w:ascii="Tw Cen MT" w:hAnsi="Tw Cen MT" w:cstheme="majorHAnsi"/>
          <w:sz w:val="20"/>
          <w:szCs w:val="20"/>
        </w:rPr>
      </w:pPr>
    </w:p>
    <w:p w14:paraId="7460FB8C" w14:textId="49855AA8" w:rsidR="00E43655" w:rsidRDefault="00E43655" w:rsidP="00846E38">
      <w:pPr>
        <w:pStyle w:val="NoSpacing"/>
        <w:numPr>
          <w:ilvl w:val="0"/>
          <w:numId w:val="17"/>
        </w:numPr>
        <w:ind w:left="851"/>
        <w:jc w:val="both"/>
        <w:rPr>
          <w:rFonts w:ascii="Tw Cen MT" w:hAnsi="Tw Cen MT" w:cstheme="majorHAnsi"/>
          <w:sz w:val="20"/>
          <w:szCs w:val="20"/>
        </w:rPr>
      </w:pPr>
      <w:r w:rsidRPr="00E42AFB">
        <w:rPr>
          <w:rFonts w:ascii="Tw Cen MT" w:hAnsi="Tw Cen MT"/>
          <w:sz w:val="20"/>
        </w:rPr>
        <w:t xml:space="preserve">Le même ensemble de données </w:t>
      </w:r>
      <w:proofErr w:type="spellStart"/>
      <w:r w:rsidRPr="00E42AFB">
        <w:rPr>
          <w:rFonts w:ascii="Tw Cen MT" w:hAnsi="Tw Cen MT"/>
          <w:sz w:val="20"/>
        </w:rPr>
        <w:t>dʼindicateurs</w:t>
      </w:r>
      <w:proofErr w:type="spellEnd"/>
      <w:r w:rsidRPr="00E42AFB">
        <w:rPr>
          <w:rFonts w:ascii="Tw Cen MT" w:hAnsi="Tw Cen MT"/>
          <w:sz w:val="20"/>
        </w:rPr>
        <w:t xml:space="preserve"> indirects peut donner une indication</w:t>
      </w:r>
      <w:r>
        <w:rPr>
          <w:rFonts w:ascii="Tw Cen MT" w:hAnsi="Tw Cen MT"/>
          <w:sz w:val="20"/>
        </w:rPr>
        <w:t xml:space="preserve"> sur les problèmes qui augmentent le risque de VBG. Par exemple, la DTM peut déterminer </w:t>
      </w:r>
      <w:proofErr w:type="spellStart"/>
      <w:r>
        <w:rPr>
          <w:rFonts w:ascii="Tw Cen MT" w:hAnsi="Tw Cen MT"/>
          <w:sz w:val="20"/>
        </w:rPr>
        <w:t>sʼil</w:t>
      </w:r>
      <w:proofErr w:type="spellEnd"/>
      <w:r>
        <w:rPr>
          <w:rFonts w:ascii="Tw Cen MT" w:hAnsi="Tw Cen MT"/>
          <w:sz w:val="20"/>
        </w:rPr>
        <w:t xml:space="preserve"> y a des lumières dans les latrines, si les femmes doivent aller loin pour ramasser du bois de chauffage ou chercher de </w:t>
      </w:r>
      <w:proofErr w:type="spellStart"/>
      <w:r>
        <w:rPr>
          <w:rFonts w:ascii="Tw Cen MT" w:hAnsi="Tw Cen MT"/>
          <w:sz w:val="20"/>
        </w:rPr>
        <w:t>lʼeau</w:t>
      </w:r>
      <w:proofErr w:type="spellEnd"/>
      <w:r>
        <w:rPr>
          <w:rFonts w:ascii="Tw Cen MT" w:hAnsi="Tw Cen MT"/>
          <w:sz w:val="20"/>
        </w:rPr>
        <w:t xml:space="preserve">, etc. La DTM peut donner un aperçu de ce que peuvent être les facteurs de risque potentiels de VBG par zone géographique. Les acteurs de la VBG peuvent effectuer des évaluations de suivi sur cette base et prendre des mesures (par exemple, plaidoyer pour </w:t>
      </w:r>
      <w:proofErr w:type="spellStart"/>
      <w:r>
        <w:rPr>
          <w:rFonts w:ascii="Tw Cen MT" w:hAnsi="Tw Cen MT"/>
          <w:sz w:val="20"/>
        </w:rPr>
        <w:t>lʼintégration</w:t>
      </w:r>
      <w:proofErr w:type="spellEnd"/>
      <w:r>
        <w:rPr>
          <w:rFonts w:ascii="Tw Cen MT" w:hAnsi="Tw Cen MT"/>
          <w:sz w:val="20"/>
        </w:rPr>
        <w:t xml:space="preserve"> et </w:t>
      </w:r>
      <w:proofErr w:type="spellStart"/>
      <w:r>
        <w:rPr>
          <w:rFonts w:ascii="Tw Cen MT" w:hAnsi="Tw Cen MT"/>
          <w:sz w:val="20"/>
        </w:rPr>
        <w:t>lʼatténuation</w:t>
      </w:r>
      <w:proofErr w:type="spellEnd"/>
      <w:r>
        <w:rPr>
          <w:rFonts w:ascii="Tw Cen MT" w:hAnsi="Tw Cen MT"/>
          <w:sz w:val="20"/>
        </w:rPr>
        <w:t xml:space="preserve"> des risques, etc.).</w:t>
      </w:r>
    </w:p>
    <w:p w14:paraId="15DC8B41" w14:textId="77777777" w:rsidR="00F12770" w:rsidRPr="006F16B3" w:rsidRDefault="00F12770" w:rsidP="00846E38">
      <w:pPr>
        <w:pStyle w:val="NoSpacing"/>
        <w:ind w:left="851"/>
        <w:jc w:val="both"/>
        <w:rPr>
          <w:rFonts w:ascii="Tw Cen MT" w:hAnsi="Tw Cen MT" w:cstheme="majorHAnsi"/>
          <w:sz w:val="20"/>
          <w:szCs w:val="20"/>
        </w:rPr>
      </w:pPr>
    </w:p>
    <w:p w14:paraId="71716E6C" w14:textId="6B01831E" w:rsidR="002552E7" w:rsidRDefault="00E43655" w:rsidP="00846E38">
      <w:pPr>
        <w:pStyle w:val="NoSpacing"/>
        <w:numPr>
          <w:ilvl w:val="0"/>
          <w:numId w:val="17"/>
        </w:numPr>
        <w:ind w:left="851"/>
        <w:jc w:val="both"/>
        <w:rPr>
          <w:rFonts w:ascii="Tw Cen MT" w:hAnsi="Tw Cen MT" w:cstheme="majorHAnsi"/>
          <w:sz w:val="20"/>
          <w:szCs w:val="20"/>
        </w:rPr>
      </w:pPr>
      <w:r>
        <w:rPr>
          <w:rFonts w:ascii="Tw Cen MT" w:hAnsi="Tw Cen MT"/>
          <w:sz w:val="20"/>
        </w:rPr>
        <w:t xml:space="preserve">Sur la base de ces mêmes indicateurs indirects, la DTM peut servir à générer une vue </w:t>
      </w:r>
      <w:proofErr w:type="spellStart"/>
      <w:r>
        <w:rPr>
          <w:rFonts w:ascii="Tw Cen MT" w:hAnsi="Tw Cen MT"/>
          <w:sz w:val="20"/>
        </w:rPr>
        <w:t>dʼensemble</w:t>
      </w:r>
      <w:proofErr w:type="spellEnd"/>
      <w:r>
        <w:rPr>
          <w:rFonts w:ascii="Tw Cen MT" w:hAnsi="Tw Cen MT"/>
          <w:sz w:val="20"/>
        </w:rPr>
        <w:t xml:space="preserve"> de chaque site : les </w:t>
      </w:r>
      <w:r>
        <w:rPr>
          <w:rFonts w:ascii="Tw Cen MT" w:hAnsi="Tw Cen MT"/>
          <w:b/>
          <w:sz w:val="20"/>
        </w:rPr>
        <w:t>profils de site</w:t>
      </w:r>
      <w:r>
        <w:rPr>
          <w:rFonts w:ascii="Tw Cen MT" w:hAnsi="Tw Cen MT"/>
          <w:sz w:val="20"/>
        </w:rPr>
        <w:t xml:space="preserve">. À un niveau très détaillé, la DTM peut produire des données qui permettront aux acteurs de la VBG de déterminer </w:t>
      </w:r>
      <w:proofErr w:type="spellStart"/>
      <w:r>
        <w:rPr>
          <w:rFonts w:ascii="Tw Cen MT" w:hAnsi="Tw Cen MT"/>
          <w:sz w:val="20"/>
        </w:rPr>
        <w:t>sʼil</w:t>
      </w:r>
      <w:proofErr w:type="spellEnd"/>
      <w:r>
        <w:rPr>
          <w:rFonts w:ascii="Tw Cen MT" w:hAnsi="Tw Cen MT"/>
          <w:sz w:val="20"/>
        </w:rPr>
        <w:t xml:space="preserve"> existe d’éventuels risques accrus de VBG.  </w:t>
      </w:r>
    </w:p>
    <w:p w14:paraId="3410107B" w14:textId="478C137D" w:rsidR="00E43655" w:rsidRPr="006F16B3" w:rsidRDefault="00E43655" w:rsidP="00E43655">
      <w:pPr>
        <w:pStyle w:val="NoSpacing"/>
        <w:jc w:val="both"/>
        <w:rPr>
          <w:rFonts w:ascii="Tw Cen MT" w:hAnsi="Tw Cen MT" w:cstheme="majorHAnsi"/>
          <w:sz w:val="20"/>
          <w:szCs w:val="20"/>
        </w:rPr>
      </w:pPr>
    </w:p>
    <w:p w14:paraId="63D47AE6" w14:textId="79EC355E" w:rsidR="00E43655" w:rsidRPr="00E43655" w:rsidRDefault="00E43655" w:rsidP="00E43655">
      <w:pPr>
        <w:pStyle w:val="NoSpacing"/>
        <w:jc w:val="both"/>
        <w:rPr>
          <w:rFonts w:ascii="Tw Cen MT" w:hAnsi="Tw Cen MT" w:cstheme="majorHAnsi"/>
          <w:sz w:val="20"/>
          <w:szCs w:val="20"/>
        </w:rPr>
      </w:pPr>
      <w:r>
        <w:rPr>
          <w:rFonts w:ascii="Tw Cen MT" w:hAnsi="Tw Cen MT"/>
          <w:sz w:val="20"/>
        </w:rPr>
        <w:t xml:space="preserve">Gardez à </w:t>
      </w:r>
      <w:proofErr w:type="spellStart"/>
      <w:r>
        <w:rPr>
          <w:rFonts w:ascii="Tw Cen MT" w:hAnsi="Tw Cen MT"/>
          <w:sz w:val="20"/>
        </w:rPr>
        <w:t>lʼesprit</w:t>
      </w:r>
      <w:proofErr w:type="spellEnd"/>
      <w:r>
        <w:rPr>
          <w:rFonts w:ascii="Tw Cen MT" w:hAnsi="Tw Cen MT"/>
          <w:sz w:val="20"/>
        </w:rPr>
        <w:t xml:space="preserve"> que la DTM sert à </w:t>
      </w:r>
      <w:r>
        <w:rPr>
          <w:rFonts w:ascii="Tw Cen MT" w:hAnsi="Tw Cen MT"/>
          <w:b/>
          <w:bCs/>
          <w:sz w:val="20"/>
        </w:rPr>
        <w:t>indiquer</w:t>
      </w:r>
      <w:r>
        <w:rPr>
          <w:rFonts w:ascii="Tw Cen MT" w:hAnsi="Tw Cen MT"/>
          <w:sz w:val="20"/>
        </w:rPr>
        <w:t xml:space="preserve"> où les risques de VBG peuvent être élevés. Afin de tirer de meilleures conclusions, les acteurs de la VBG devront effectuer des évaluations de suivi dans les domaines où la DTM indique que les risques sont élevés.</w:t>
      </w:r>
    </w:p>
    <w:p w14:paraId="2F0B8164" w14:textId="2A18E6FC" w:rsidR="006C081F" w:rsidRDefault="006C081F" w:rsidP="007F5E63">
      <w:pPr>
        <w:pStyle w:val="NoSpacing"/>
        <w:jc w:val="both"/>
        <w:rPr>
          <w:rFonts w:ascii="Tw Cen MT" w:hAnsi="Tw Cen MT" w:cs="Arial"/>
          <w:i/>
          <w:sz w:val="28"/>
        </w:rPr>
      </w:pPr>
    </w:p>
    <w:p w14:paraId="18620EEA" w14:textId="04E2F7C9" w:rsidR="00846E38" w:rsidRDefault="00846E38" w:rsidP="007F5E63">
      <w:pPr>
        <w:pStyle w:val="NoSpacing"/>
        <w:jc w:val="both"/>
        <w:rPr>
          <w:rFonts w:ascii="Tw Cen MT" w:hAnsi="Tw Cen MT" w:cs="Arial"/>
          <w:i/>
          <w:sz w:val="28"/>
        </w:rPr>
      </w:pPr>
    </w:p>
    <w:p w14:paraId="12488628" w14:textId="034F5F7D" w:rsidR="00846E38" w:rsidRDefault="00846E38" w:rsidP="007F5E63">
      <w:pPr>
        <w:pStyle w:val="NoSpacing"/>
        <w:jc w:val="both"/>
        <w:rPr>
          <w:rFonts w:ascii="Tw Cen MT" w:hAnsi="Tw Cen MT" w:cs="Arial"/>
          <w:i/>
          <w:sz w:val="28"/>
        </w:rPr>
      </w:pPr>
    </w:p>
    <w:p w14:paraId="170EDF4E" w14:textId="30998337" w:rsidR="00846E38" w:rsidRDefault="00846E38" w:rsidP="007F5E63">
      <w:pPr>
        <w:pStyle w:val="NoSpacing"/>
        <w:jc w:val="both"/>
        <w:rPr>
          <w:rFonts w:ascii="Tw Cen MT" w:hAnsi="Tw Cen MT" w:cs="Arial"/>
          <w:i/>
          <w:sz w:val="28"/>
        </w:rPr>
      </w:pPr>
    </w:p>
    <w:p w14:paraId="3F5A76F2" w14:textId="77777777" w:rsidR="00846E38" w:rsidRDefault="00846E38">
      <w:pPr>
        <w:rPr>
          <w:rFonts w:ascii="Tw Cen MT" w:hAnsi="Tw Cen MT"/>
          <w:sz w:val="24"/>
        </w:rPr>
      </w:pPr>
      <w:r>
        <w:rPr>
          <w:rFonts w:ascii="Tw Cen MT" w:hAnsi="Tw Cen MT"/>
          <w:sz w:val="24"/>
        </w:rPr>
        <w:br w:type="page"/>
      </w:r>
    </w:p>
    <w:p w14:paraId="6EECB637" w14:textId="4A0F130B" w:rsidR="006C081F" w:rsidRPr="00E43655" w:rsidRDefault="006C081F" w:rsidP="006C081F">
      <w:pPr>
        <w:pStyle w:val="NoSpacing"/>
        <w:rPr>
          <w:rFonts w:ascii="Tw Cen MT" w:hAnsi="Tw Cen MT" w:cs="Arial"/>
          <w:sz w:val="24"/>
        </w:rPr>
      </w:pPr>
      <w:r>
        <w:rPr>
          <w:rFonts w:ascii="Tw Cen MT" w:hAnsi="Tw Cen MT"/>
          <w:sz w:val="24"/>
        </w:rPr>
        <w:lastRenderedPageBreak/>
        <w:t xml:space="preserve">Que NE dois-je </w:t>
      </w:r>
      <w:r>
        <w:rPr>
          <w:rFonts w:ascii="Tw Cen MT" w:hAnsi="Tw Cen MT"/>
          <w:b/>
          <w:sz w:val="24"/>
        </w:rPr>
        <w:t>PAS</w:t>
      </w:r>
      <w:r>
        <w:rPr>
          <w:rFonts w:ascii="Tw Cen MT" w:hAnsi="Tw Cen MT"/>
          <w:sz w:val="24"/>
        </w:rPr>
        <w:t xml:space="preserve"> inclure ?</w:t>
      </w:r>
    </w:p>
    <w:p w14:paraId="0A1758F7" w14:textId="2CD261F5" w:rsidR="006C081F" w:rsidRDefault="00E43655" w:rsidP="006C081F">
      <w:pPr>
        <w:pStyle w:val="NoSpacing"/>
        <w:jc w:val="both"/>
        <w:rPr>
          <w:rFonts w:ascii="Tw Cen MT" w:hAnsi="Tw Cen MT" w:cs="Arial"/>
          <w:sz w:val="20"/>
        </w:rPr>
      </w:pPr>
      <w:r>
        <w:rPr>
          <w:rFonts w:ascii="Tw Cen MT" w:hAnsi="Tw Cen MT"/>
          <w:sz w:val="20"/>
        </w:rPr>
        <w:t xml:space="preserve">Vous souhaiterez peut-être inclure des questions différentes de celles proposées dans le Field </w:t>
      </w:r>
      <w:proofErr w:type="spellStart"/>
      <w:r>
        <w:rPr>
          <w:rFonts w:ascii="Tw Cen MT" w:hAnsi="Tw Cen MT"/>
          <w:sz w:val="20"/>
        </w:rPr>
        <w:t>Companion</w:t>
      </w:r>
      <w:proofErr w:type="spellEnd"/>
      <w:r>
        <w:rPr>
          <w:rFonts w:ascii="Tw Cen MT" w:hAnsi="Tw Cen MT"/>
          <w:sz w:val="20"/>
        </w:rPr>
        <w:t xml:space="preserve">, car certaines questions que vous envisagez de poser sont plus adaptées à votre contexte. Dans tous les contextes, gardez à l’esprit : </w:t>
      </w:r>
    </w:p>
    <w:p w14:paraId="461F8425" w14:textId="77777777" w:rsidR="00E43655" w:rsidRPr="006F16B3" w:rsidRDefault="00E43655" w:rsidP="006C081F">
      <w:pPr>
        <w:pStyle w:val="NoSpacing"/>
        <w:jc w:val="both"/>
        <w:rPr>
          <w:rFonts w:ascii="Tw Cen MT" w:hAnsi="Tw Cen MT" w:cs="Arial"/>
          <w:sz w:val="20"/>
        </w:rPr>
      </w:pPr>
    </w:p>
    <w:p w14:paraId="3CBCAE4F" w14:textId="77777777" w:rsidR="006C081F" w:rsidRPr="00B45A0D" w:rsidRDefault="006C081F" w:rsidP="006C081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w Cen MT" w:hAnsi="Tw Cen MT" w:cs="Arial"/>
          <w:sz w:val="24"/>
        </w:rPr>
      </w:pPr>
      <w:r>
        <w:rPr>
          <w:rFonts w:ascii="Tw Cen MT" w:hAnsi="Tw Cen MT"/>
          <w:b/>
          <w:sz w:val="24"/>
        </w:rPr>
        <w:t xml:space="preserve">De ne pas inclure de questions sur la VBG qui visent à collecter des données sur </w:t>
      </w:r>
      <w:proofErr w:type="spellStart"/>
      <w:r>
        <w:rPr>
          <w:rFonts w:ascii="Tw Cen MT" w:hAnsi="Tw Cen MT"/>
          <w:b/>
          <w:sz w:val="24"/>
        </w:rPr>
        <w:t>lʼincidence</w:t>
      </w:r>
      <w:proofErr w:type="spellEnd"/>
      <w:r>
        <w:rPr>
          <w:rFonts w:ascii="Tw Cen MT" w:hAnsi="Tw Cen MT"/>
          <w:b/>
          <w:sz w:val="24"/>
        </w:rPr>
        <w:t xml:space="preserve">, la prévalence ou les types d’occurrence de VBG. La DTM n’est pas dotée de la méthodologie appropriée pour collecter ces informations. </w:t>
      </w:r>
      <w:proofErr w:type="spellStart"/>
      <w:r>
        <w:rPr>
          <w:rFonts w:ascii="Tw Cen MT" w:hAnsi="Tw Cen MT"/>
          <w:b/>
          <w:sz w:val="24"/>
        </w:rPr>
        <w:t>Lʼinclusion</w:t>
      </w:r>
      <w:proofErr w:type="spellEnd"/>
      <w:r>
        <w:rPr>
          <w:rFonts w:ascii="Tw Cen MT" w:hAnsi="Tw Cen MT"/>
          <w:b/>
          <w:sz w:val="24"/>
        </w:rPr>
        <w:t xml:space="preserve"> de ces questions peut nuire aux gens. </w:t>
      </w:r>
    </w:p>
    <w:p w14:paraId="44C1B932" w14:textId="77777777" w:rsidR="006C081F" w:rsidRPr="006F16B3" w:rsidRDefault="006C081F" w:rsidP="006C081F">
      <w:pPr>
        <w:pStyle w:val="NoSpacing"/>
        <w:jc w:val="both"/>
        <w:rPr>
          <w:rFonts w:ascii="Tw Cen MT" w:hAnsi="Tw Cen MT" w:cstheme="majorHAnsi"/>
          <w:sz w:val="20"/>
          <w:szCs w:val="20"/>
        </w:rPr>
      </w:pPr>
    </w:p>
    <w:p w14:paraId="56EA7BC5" w14:textId="1450537E" w:rsidR="006C081F" w:rsidRPr="00BB425C" w:rsidRDefault="006C081F" w:rsidP="006C081F">
      <w:pPr>
        <w:pStyle w:val="NoSpacing"/>
        <w:jc w:val="both"/>
        <w:rPr>
          <w:rFonts w:ascii="Tw Cen MT" w:hAnsi="Tw Cen MT" w:cstheme="majorHAnsi"/>
          <w:sz w:val="20"/>
          <w:szCs w:val="20"/>
        </w:rPr>
      </w:pPr>
      <w:proofErr w:type="spellStart"/>
      <w:r>
        <w:rPr>
          <w:rFonts w:ascii="Tw Cen MT" w:hAnsi="Tw Cen MT"/>
          <w:sz w:val="20"/>
        </w:rPr>
        <w:t>Nʼoubliez</w:t>
      </w:r>
      <w:proofErr w:type="spellEnd"/>
      <w:r>
        <w:rPr>
          <w:rFonts w:ascii="Tw Cen MT" w:hAnsi="Tw Cen MT"/>
          <w:sz w:val="20"/>
        </w:rPr>
        <w:t xml:space="preserve"> pas </w:t>
      </w:r>
      <w:proofErr w:type="spellStart"/>
      <w:r>
        <w:rPr>
          <w:rFonts w:ascii="Tw Cen MT" w:hAnsi="Tw Cen MT"/>
          <w:sz w:val="20"/>
        </w:rPr>
        <w:t>quʼil</w:t>
      </w:r>
      <w:proofErr w:type="spellEnd"/>
      <w:r>
        <w:rPr>
          <w:rFonts w:ascii="Tw Cen MT" w:hAnsi="Tw Cen MT"/>
          <w:sz w:val="20"/>
        </w:rPr>
        <w:t xml:space="preserve"> est communément admis au plus haut niveau que les données sur </w:t>
      </w:r>
      <w:proofErr w:type="spellStart"/>
      <w:r>
        <w:rPr>
          <w:rFonts w:ascii="Tw Cen MT" w:hAnsi="Tw Cen MT"/>
          <w:sz w:val="20"/>
        </w:rPr>
        <w:t>lʼincidence</w:t>
      </w:r>
      <w:proofErr w:type="spellEnd"/>
      <w:r>
        <w:rPr>
          <w:rFonts w:ascii="Tw Cen MT" w:hAnsi="Tw Cen MT"/>
          <w:sz w:val="20"/>
        </w:rPr>
        <w:t xml:space="preserve">, la prévalence ou les types d'occurrence de VBG (par exemple, concernant le nombre de cas signalés) </w:t>
      </w:r>
      <w:r>
        <w:rPr>
          <w:rFonts w:ascii="Tw Cen MT" w:hAnsi="Tw Cen MT"/>
          <w:b/>
          <w:sz w:val="20"/>
        </w:rPr>
        <w:t>ne sont</w:t>
      </w:r>
      <w:r>
        <w:rPr>
          <w:rFonts w:ascii="Tw Cen MT" w:hAnsi="Tw Cen MT"/>
          <w:sz w:val="20"/>
        </w:rPr>
        <w:t xml:space="preserve"> </w:t>
      </w:r>
      <w:r>
        <w:rPr>
          <w:rFonts w:ascii="Tw Cen MT" w:hAnsi="Tw Cen MT"/>
          <w:b/>
          <w:sz w:val="20"/>
        </w:rPr>
        <w:t>pas nécessaires pour prendre des</w:t>
      </w:r>
      <w:r>
        <w:rPr>
          <w:rFonts w:ascii="Tw Cen MT" w:hAnsi="Tw Cen MT"/>
          <w:sz w:val="20"/>
        </w:rPr>
        <w:t xml:space="preserve"> </w:t>
      </w:r>
      <w:r>
        <w:rPr>
          <w:rFonts w:ascii="Tw Cen MT" w:hAnsi="Tw Cen MT"/>
          <w:b/>
          <w:sz w:val="20"/>
        </w:rPr>
        <w:t>mesures,</w:t>
      </w:r>
      <w:r>
        <w:rPr>
          <w:rFonts w:ascii="Tw Cen MT" w:hAnsi="Tw Cen MT"/>
          <w:sz w:val="20"/>
        </w:rPr>
        <w:t xml:space="preserve"> et que les travailleurs humanitaires devraient « considérer la violence basée sur le genre comme un état de fait[...], quelle que soit la prévalence ou l’incidence « connue » et vérifiée des différentes formes de violence basée sur le genre »</w:t>
      </w:r>
      <w:r w:rsidRPr="00BB425C">
        <w:rPr>
          <w:rStyle w:val="FootnoteReference"/>
          <w:rFonts w:ascii="Tw Cen MT" w:hAnsi="Tw Cen MT" w:cstheme="majorHAnsi"/>
          <w:sz w:val="20"/>
          <w:szCs w:val="20"/>
          <w:lang w:val="en-US"/>
        </w:rPr>
        <w:footnoteReference w:id="2"/>
      </w:r>
      <w:r>
        <w:rPr>
          <w:rFonts w:ascii="Tw Cen MT" w:hAnsi="Tw Cen MT"/>
          <w:sz w:val="20"/>
        </w:rPr>
        <w:t>.</w:t>
      </w:r>
    </w:p>
    <w:p w14:paraId="7C9B0EC7" w14:textId="77777777" w:rsidR="006C081F" w:rsidRPr="006F16B3" w:rsidRDefault="006C081F" w:rsidP="006C081F">
      <w:pPr>
        <w:pStyle w:val="NoSpacing"/>
        <w:jc w:val="both"/>
        <w:rPr>
          <w:rFonts w:ascii="Tw Cen MT" w:hAnsi="Tw Cen MT" w:cstheme="majorHAnsi"/>
          <w:sz w:val="20"/>
          <w:szCs w:val="20"/>
        </w:rPr>
      </w:pPr>
    </w:p>
    <w:p w14:paraId="6392DCCE" w14:textId="2E8F6259" w:rsidR="006C081F" w:rsidRDefault="006C081F" w:rsidP="006C081F">
      <w:pPr>
        <w:pStyle w:val="NoSpacing"/>
        <w:jc w:val="both"/>
        <w:rPr>
          <w:rFonts w:ascii="Tw Cen MT" w:hAnsi="Tw Cen MT" w:cstheme="majorHAnsi"/>
          <w:sz w:val="20"/>
          <w:szCs w:val="20"/>
        </w:rPr>
      </w:pPr>
      <w:r>
        <w:rPr>
          <w:rFonts w:ascii="Tw Cen MT" w:hAnsi="Tw Cen MT"/>
          <w:sz w:val="20"/>
        </w:rPr>
        <w:t xml:space="preserve">Comme le veut la pratique courante au sein du domaine de responsabilité de la VBG, les questions de la DTM </w:t>
      </w:r>
      <w:r>
        <w:rPr>
          <w:rFonts w:ascii="Tw Cen MT" w:hAnsi="Tw Cen MT"/>
          <w:i/>
          <w:sz w:val="20"/>
        </w:rPr>
        <w:t>n’interrogent pas sur les incidents liés à la VBG :</w:t>
      </w:r>
      <w:r>
        <w:rPr>
          <w:rFonts w:ascii="Tw Cen MT" w:hAnsi="Tw Cen MT"/>
          <w:sz w:val="20"/>
        </w:rPr>
        <w:t xml:space="preserve"> on ne trouvera pas de telles questions dans le Field </w:t>
      </w:r>
      <w:proofErr w:type="spellStart"/>
      <w:r>
        <w:rPr>
          <w:rFonts w:ascii="Tw Cen MT" w:hAnsi="Tw Cen MT"/>
          <w:sz w:val="20"/>
        </w:rPr>
        <w:t>Companion</w:t>
      </w:r>
      <w:proofErr w:type="spellEnd"/>
      <w:r>
        <w:rPr>
          <w:rFonts w:ascii="Tw Cen MT" w:hAnsi="Tw Cen MT"/>
          <w:sz w:val="20"/>
        </w:rPr>
        <w:t xml:space="preserve"> et elles ne devraient pas être incluses dans les questionnaires DTM sur le terrain. En plus </w:t>
      </w:r>
      <w:proofErr w:type="spellStart"/>
      <w:r>
        <w:rPr>
          <w:rFonts w:ascii="Tw Cen MT" w:hAnsi="Tw Cen MT"/>
          <w:sz w:val="20"/>
        </w:rPr>
        <w:t>dʼêtre</w:t>
      </w:r>
      <w:proofErr w:type="spellEnd"/>
      <w:r>
        <w:rPr>
          <w:rFonts w:ascii="Tw Cen MT" w:hAnsi="Tw Cen MT"/>
          <w:sz w:val="20"/>
        </w:rPr>
        <w:t xml:space="preserve"> dangereux et de mettre éventuellement les enquêteurs ou la population touchée en danger, les enquêteurs de la DTM ne sont pas des experts en matière de VBG et ne peuvent pas fournir de suivi si des incidents de VBG sont divulgués (à l’exception des référencements, lorsque cette possibilité existe). De plus, </w:t>
      </w:r>
      <w:proofErr w:type="spellStart"/>
      <w:r>
        <w:rPr>
          <w:rFonts w:ascii="Tw Cen MT" w:hAnsi="Tw Cen MT"/>
          <w:sz w:val="20"/>
        </w:rPr>
        <w:t>dʼun</w:t>
      </w:r>
      <w:proofErr w:type="spellEnd"/>
      <w:r>
        <w:rPr>
          <w:rFonts w:ascii="Tw Cen MT" w:hAnsi="Tw Cen MT"/>
          <w:sz w:val="20"/>
        </w:rPr>
        <w:t xml:space="preserve"> point de vue méthodologique, poser des questions directes sur des incidents de VBG aux informateurs clés (qui, en outre, sont dans la plupart des cas des hommes) est peu susceptible de produire des résultats fiables ou utiles.</w:t>
      </w:r>
    </w:p>
    <w:p w14:paraId="7450B424" w14:textId="571BAE15" w:rsidR="00B54B16" w:rsidRPr="006F16B3" w:rsidRDefault="00B54B16" w:rsidP="006C081F">
      <w:pPr>
        <w:pStyle w:val="NoSpacing"/>
        <w:jc w:val="both"/>
        <w:rPr>
          <w:rFonts w:ascii="Tw Cen MT" w:hAnsi="Tw Cen MT" w:cstheme="majorHAnsi"/>
          <w:sz w:val="20"/>
          <w:szCs w:val="20"/>
        </w:rPr>
      </w:pPr>
    </w:p>
    <w:p w14:paraId="5BF22FC6" w14:textId="02A02713" w:rsidR="00B54B16" w:rsidRPr="009D70E8" w:rsidRDefault="007363A0" w:rsidP="006C081F">
      <w:pPr>
        <w:pStyle w:val="NoSpacing"/>
        <w:jc w:val="both"/>
        <w:rPr>
          <w:rFonts w:ascii="Tw Cen MT" w:hAnsi="Tw Cen MT" w:cstheme="majorHAnsi"/>
          <w:sz w:val="20"/>
          <w:szCs w:val="20"/>
        </w:rPr>
      </w:pPr>
      <w:r>
        <w:rPr>
          <w:rFonts w:ascii="Arial" w:hAnsi="Arial"/>
          <w:noProof/>
          <w:lang w:val="en-US" w:eastAsia="zh-CN"/>
        </w:rPr>
        <mc:AlternateContent>
          <mc:Choice Requires="wps">
            <w:drawing>
              <wp:anchor distT="0" distB="0" distL="114300" distR="114300" simplePos="0" relativeHeight="251667456" behindDoc="0" locked="0" layoutInCell="1" allowOverlap="1" wp14:anchorId="307A1875" wp14:editId="7630E752">
                <wp:simplePos x="0" y="0"/>
                <wp:positionH relativeFrom="margin">
                  <wp:align>left</wp:align>
                </wp:positionH>
                <wp:positionV relativeFrom="paragraph">
                  <wp:posOffset>135889</wp:posOffset>
                </wp:positionV>
                <wp:extent cx="6294120" cy="1838325"/>
                <wp:effectExtent l="0" t="0" r="11430" b="28575"/>
                <wp:wrapNone/>
                <wp:docPr id="2" name="Tekstvak 2"/>
                <wp:cNvGraphicFramePr/>
                <a:graphic xmlns:a="http://schemas.openxmlformats.org/drawingml/2006/main">
                  <a:graphicData uri="http://schemas.microsoft.com/office/word/2010/wordprocessingShape">
                    <wps:wsp>
                      <wps:cNvSpPr txBox="1"/>
                      <wps:spPr>
                        <a:xfrm>
                          <a:off x="0" y="0"/>
                          <a:ext cx="6294120" cy="1838325"/>
                        </a:xfrm>
                        <a:prstGeom prst="rect">
                          <a:avLst/>
                        </a:prstGeom>
                        <a:solidFill>
                          <a:schemeClr val="bg2"/>
                        </a:solidFill>
                        <a:ln w="6350">
                          <a:solidFill>
                            <a:schemeClr val="bg2"/>
                          </a:solidFill>
                        </a:ln>
                      </wps:spPr>
                      <wps:txbx>
                        <w:txbxContent>
                          <w:p w14:paraId="2CC25C6F" w14:textId="14EAC62B" w:rsidR="00E43655" w:rsidRPr="00B54B16" w:rsidRDefault="00E43655" w:rsidP="00E43655">
                            <w:pPr>
                              <w:pStyle w:val="NoSpacing"/>
                              <w:jc w:val="both"/>
                              <w:rPr>
                                <w:rFonts w:ascii="Tw Cen MT" w:hAnsi="Tw Cen MT" w:cstheme="majorHAnsi"/>
                                <w:i/>
                                <w:sz w:val="24"/>
                                <w:szCs w:val="20"/>
                              </w:rPr>
                            </w:pPr>
                            <w:r>
                              <w:rPr>
                                <w:rFonts w:ascii="Tw Cen MT" w:hAnsi="Tw Cen MT"/>
                                <w:i/>
                                <w:sz w:val="24"/>
                              </w:rPr>
                              <w:t>Résumé</w:t>
                            </w:r>
                          </w:p>
                          <w:p w14:paraId="28EFE99F" w14:textId="21098FE1" w:rsidR="00E43655" w:rsidRDefault="00E43655" w:rsidP="00E43655">
                            <w:pPr>
                              <w:pStyle w:val="NoSpacing"/>
                              <w:jc w:val="both"/>
                              <w:rPr>
                                <w:rFonts w:ascii="Tw Cen MT" w:hAnsi="Tw Cen MT" w:cstheme="majorHAnsi"/>
                                <w:sz w:val="20"/>
                                <w:szCs w:val="20"/>
                              </w:rPr>
                            </w:pPr>
                            <w:proofErr w:type="spellStart"/>
                            <w:r>
                              <w:rPr>
                                <w:rFonts w:ascii="Tw Cen MT" w:hAnsi="Tw Cen MT"/>
                                <w:sz w:val="20"/>
                              </w:rPr>
                              <w:t>Lʼévaluation</w:t>
                            </w:r>
                            <w:proofErr w:type="spellEnd"/>
                            <w:r>
                              <w:rPr>
                                <w:rFonts w:ascii="Tw Cen MT" w:hAnsi="Tw Cen MT"/>
                                <w:sz w:val="20"/>
                              </w:rPr>
                              <w:t xml:space="preserve"> multisectorielle des besoins consiste en des entretiens avec des informateurs clés et est effectuée de manière rapide et régulière. Les résultats peuvent être utilisés comme </w:t>
                            </w:r>
                            <w:r>
                              <w:rPr>
                                <w:rFonts w:ascii="Tw Cen MT" w:hAnsi="Tw Cen MT"/>
                                <w:b/>
                                <w:sz w:val="20"/>
                              </w:rPr>
                              <w:t xml:space="preserve">une indication des éventuelles lacunes observées dans les services de lutte contre la VBG et des risques </w:t>
                            </w:r>
                            <w:r w:rsidRPr="00E42AFB">
                              <w:rPr>
                                <w:rFonts w:ascii="Tw Cen MT" w:hAnsi="Tw Cen MT"/>
                                <w:b/>
                                <w:sz w:val="20"/>
                              </w:rPr>
                              <w:t>potentiels de VBG.</w:t>
                            </w:r>
                            <w:r w:rsidRPr="00E42AFB">
                              <w:rPr>
                                <w:rFonts w:ascii="Tw Cen MT" w:hAnsi="Tw Cen MT"/>
                                <w:sz w:val="20"/>
                              </w:rPr>
                              <w:t xml:space="preserve"> Le personnel de la DTM ainsi que les coordinateurs des sous-clusters VBG et les SGI jouent un rôle dans la création du questionnaire. Quatre catégories de questions ont été incluses dans le Field </w:t>
                            </w:r>
                            <w:proofErr w:type="spellStart"/>
                            <w:r w:rsidRPr="00E42AFB">
                              <w:rPr>
                                <w:rFonts w:ascii="Tw Cen MT" w:hAnsi="Tw Cen MT"/>
                                <w:sz w:val="20"/>
                              </w:rPr>
                              <w:t>Companion</w:t>
                            </w:r>
                            <w:proofErr w:type="spellEnd"/>
                            <w:r w:rsidRPr="00E42AFB">
                              <w:rPr>
                                <w:rFonts w:ascii="Tw Cen MT" w:hAnsi="Tw Cen MT"/>
                                <w:sz w:val="20"/>
                              </w:rPr>
                              <w:t xml:space="preserve"> (disponibilité des services VBG, </w:t>
                            </w:r>
                            <w:r w:rsidR="000C2784" w:rsidRPr="00E42AFB">
                              <w:rPr>
                                <w:rFonts w:ascii="Tw Cen MT" w:hAnsi="Tw Cen MT" w:cstheme="majorHAnsi"/>
                                <w:sz w:val="20"/>
                                <w:szCs w:val="20"/>
                              </w:rPr>
                              <w:t>informations sur la distance et le coût</w:t>
                            </w:r>
                            <w:r w:rsidR="000C2784" w:rsidRPr="00E42AFB">
                              <w:rPr>
                                <w:rFonts w:ascii="Tw Cen MT" w:hAnsi="Tw Cen MT"/>
                                <w:sz w:val="20"/>
                              </w:rPr>
                              <w:t xml:space="preserve"> des </w:t>
                            </w:r>
                            <w:r w:rsidR="000C2784" w:rsidRPr="00E42AFB">
                              <w:rPr>
                                <w:rFonts w:ascii="Tw Cen MT" w:hAnsi="Tw Cen MT" w:cstheme="majorHAnsi"/>
                                <w:sz w:val="20"/>
                                <w:szCs w:val="20"/>
                              </w:rPr>
                              <w:t xml:space="preserve">biens et services de </w:t>
                            </w:r>
                            <w:proofErr w:type="gramStart"/>
                            <w:r w:rsidR="000C2784" w:rsidRPr="00E42AFB">
                              <w:rPr>
                                <w:rFonts w:ascii="Tw Cen MT" w:hAnsi="Tw Cen MT" w:cstheme="majorHAnsi"/>
                                <w:sz w:val="20"/>
                                <w:szCs w:val="20"/>
                              </w:rPr>
                              <w:t xml:space="preserve">base </w:t>
                            </w:r>
                            <w:r w:rsidR="000C2784" w:rsidRPr="00E42AFB">
                              <w:rPr>
                                <w:rFonts w:ascii="Tw Cen MT" w:hAnsi="Tw Cen MT" w:cstheme="majorHAnsi"/>
                                <w:sz w:val="20"/>
                                <w:szCs w:val="20"/>
                              </w:rPr>
                              <w:t>,</w:t>
                            </w:r>
                            <w:proofErr w:type="gramEnd"/>
                            <w:r w:rsidR="000C2784" w:rsidRPr="00E42AFB">
                              <w:rPr>
                                <w:rFonts w:ascii="Tw Cen MT" w:hAnsi="Tw Cen MT" w:cstheme="majorHAnsi"/>
                                <w:sz w:val="20"/>
                                <w:szCs w:val="20"/>
                              </w:rPr>
                              <w:t xml:space="preserve"> </w:t>
                            </w:r>
                            <w:r w:rsidRPr="00E42AFB">
                              <w:rPr>
                                <w:rFonts w:ascii="Tw Cen MT" w:hAnsi="Tw Cen MT"/>
                                <w:sz w:val="20"/>
                              </w:rPr>
                              <w:t>questions générales de protection et indicateurs</w:t>
                            </w:r>
                            <w:r>
                              <w:rPr>
                                <w:rFonts w:ascii="Tw Cen MT" w:hAnsi="Tw Cen MT"/>
                                <w:sz w:val="20"/>
                              </w:rPr>
                              <w:t xml:space="preserve"> indirects sur les risques de VBG). </w:t>
                            </w:r>
                          </w:p>
                          <w:p w14:paraId="3760E3BE" w14:textId="19B4B025" w:rsidR="00E43655" w:rsidRDefault="00E43655" w:rsidP="00E43655">
                            <w:pPr>
                              <w:pStyle w:val="NoSpacing"/>
                              <w:jc w:val="both"/>
                              <w:rPr>
                                <w:rFonts w:ascii="Tw Cen MT" w:hAnsi="Tw Cen MT" w:cstheme="majorHAnsi"/>
                                <w:sz w:val="20"/>
                                <w:szCs w:val="20"/>
                              </w:rPr>
                            </w:pPr>
                            <w:r>
                              <w:rPr>
                                <w:rFonts w:ascii="Tw Cen MT" w:hAnsi="Tw Cen MT"/>
                                <w:sz w:val="20"/>
                              </w:rPr>
                              <w:t>Les données de la DTM doivent être analysées régulièrement pour mettre en lumière les lacunes potentielles au sein des services, les risques de VBG et là où les acteurs peuvent effectuer des évaluations de suivi afin de vérifier les données de la DTM et éclairer la réponse à la VBG.</w:t>
                            </w:r>
                          </w:p>
                          <w:p w14:paraId="7CAE51E7" w14:textId="4134C56D" w:rsidR="00E43655" w:rsidRPr="00E43655" w:rsidRDefault="00E43655" w:rsidP="00E43655">
                            <w:pPr>
                              <w:pStyle w:val="NoSpacing"/>
                              <w:jc w:val="both"/>
                              <w:rPr>
                                <w:rFonts w:ascii="Tw Cen MT" w:hAnsi="Tw Cen MT" w:cstheme="majorHAnsi"/>
                                <w:b/>
                                <w:sz w:val="20"/>
                                <w:szCs w:val="20"/>
                              </w:rPr>
                            </w:pPr>
                            <w:r>
                              <w:rPr>
                                <w:rFonts w:ascii="Tw Cen MT" w:hAnsi="Tw Cen MT"/>
                                <w:sz w:val="20"/>
                              </w:rPr>
                              <w:t xml:space="preserve">S'assurer que quel que soit l’endroit où la DTM est mise en place, il </w:t>
                            </w:r>
                            <w:proofErr w:type="spellStart"/>
                            <w:r>
                              <w:rPr>
                                <w:rFonts w:ascii="Tw Cen MT" w:hAnsi="Tw Cen MT"/>
                                <w:sz w:val="20"/>
                              </w:rPr>
                              <w:t>nʼy</w:t>
                            </w:r>
                            <w:proofErr w:type="spellEnd"/>
                            <w:r>
                              <w:rPr>
                                <w:rFonts w:ascii="Tw Cen MT" w:hAnsi="Tw Cen MT"/>
                                <w:sz w:val="20"/>
                              </w:rPr>
                              <w:t xml:space="preserve"> a </w:t>
                            </w:r>
                            <w:r>
                              <w:rPr>
                                <w:rFonts w:ascii="Tw Cen MT" w:hAnsi="Tw Cen MT"/>
                                <w:b/>
                                <w:sz w:val="20"/>
                              </w:rPr>
                              <w:t xml:space="preserve">pas de questions sur </w:t>
                            </w:r>
                            <w:proofErr w:type="spellStart"/>
                            <w:r>
                              <w:rPr>
                                <w:rFonts w:ascii="Tw Cen MT" w:hAnsi="Tw Cen MT"/>
                                <w:b/>
                                <w:sz w:val="20"/>
                              </w:rPr>
                              <w:t>lʼincidence</w:t>
                            </w:r>
                            <w:proofErr w:type="spellEnd"/>
                            <w:r>
                              <w:rPr>
                                <w:rFonts w:ascii="Tw Cen MT" w:hAnsi="Tw Cen MT"/>
                                <w:b/>
                                <w:sz w:val="20"/>
                              </w:rPr>
                              <w:t>, la prévalence ou les types de VBG.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A1875" id="Tekstvak 2" o:spid="_x0000_s1027" type="#_x0000_t202" style="position:absolute;left:0;text-align:left;margin-left:0;margin-top:10.7pt;width:495.6pt;height:14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Q8NAIAAIQEAAAOAAAAZHJzL2Uyb0RvYy54bWysVN9r2zAQfh/sfxB6Xxw7SZeaOCVLyRiU&#10;tpCOPiuylBhknSYpsbO/fifZ+dFuMBh7kU+606e7777z7K6tFTkI6yrQBU0HQ0qE5lBWelvQ7y+r&#10;T1NKnGe6ZAq0KOhROHo3//hh1phcZLADVQpLEES7vDEF3Xlv8iRxfCdq5gZghEanBFszj1u7TUrL&#10;GkSvVZINhzdJA7Y0FrhwDk/vOyedR3wpBfdPUjrhiSoo5ubjauO6CWsyn7F8a5nZVbxPg/1DFjWr&#10;ND56hrpnnpG9rX6DqituwYH0Aw51AlJWXMQasJp0+K6a9Y4ZEWtBcpw50+T+Hyx/PKzNsyW+/QIt&#10;NjAQ0hiXOzwM9bTS1uGLmRL0I4XHM22i9YTj4U12O04zdHH0pdPRdJRNAk5yuW6s818F1CQYBbXY&#10;l0gXOzw434WeQsJrDlRVriql4iZoQSyVJQeGXdxssx78TZTSpMFURpNhBH7ji2r6CwImqzTmfCk+&#10;WL7dtKQqr4jZQHlEvix0UnKGryqs6YE5/8wsagd5wHnwT7hIBZgT9BYlO7A//3Qe4rGl6KWkQS0W&#10;1P3YMysoUd80Nvs2HY+DeONmPPkcuLbXns21R+/rJSBRKU6e4dEM8V6dTGmhfsWxWYRX0cU0x7cL&#10;6k/m0ncTgmPHxWIRg1CuhvkHvTY8QIfGhI69tK/Mmr6tHhXxCCfVsvxdd7vYcFPDYu9BVrH1geeO&#10;1Z5+lHoUTz+WYZau9zHq8vOY/wIAAP//AwBQSwMEFAAGAAgAAAAhAN+gk4feAAAABwEAAA8AAABk&#10;cnMvZG93bnJldi54bWxMj81OwzAQhO9IvIO1lbhRJymKmpBNBVRFQqgHAg/gxNs4qn+i2E3D22NO&#10;cBzNaOabarcYzWaa/OAsQrpOgJHtnBxsj/D1ebjfAvNBWCm0s4TwTR529e1NJUrprvaD5ib0LJZY&#10;XwoEFcJYcu47RUb4tRvJRu/kJiNClFPP5SSusdxoniVJzo0YbFxQYqQXRd25uRiExpzbt837fNDH&#10;PN/O+0y97pdnxLvV8vQILNAS/sLwix/RoY5MrbtY6ZlGiEcCQpY+AItuUaQZsBZhkyYF8Lri//nr&#10;HwAAAP//AwBQSwECLQAUAAYACAAAACEAtoM4kv4AAADhAQAAEwAAAAAAAAAAAAAAAAAAAAAAW0Nv&#10;bnRlbnRfVHlwZXNdLnhtbFBLAQItABQABgAIAAAAIQA4/SH/1gAAAJQBAAALAAAAAAAAAAAAAAAA&#10;AC8BAABfcmVscy8ucmVsc1BLAQItABQABgAIAAAAIQDL9PQ8NAIAAIQEAAAOAAAAAAAAAAAAAAAA&#10;AC4CAABkcnMvZTJvRG9jLnhtbFBLAQItABQABgAIAAAAIQDfoJOH3gAAAAcBAAAPAAAAAAAAAAAA&#10;AAAAAI4EAABkcnMvZG93bnJldi54bWxQSwUGAAAAAAQABADzAAAAmQUAAAAA&#10;" fillcolor="#e7e6e6 [3214]" strokecolor="#e7e6e6 [3214]" strokeweight=".5pt">
                <v:textbox>
                  <w:txbxContent>
                    <w:p w14:paraId="2CC25C6F" w14:textId="14EAC62B" w:rsidR="00E43655" w:rsidRPr="00B54B16" w:rsidRDefault="00E43655" w:rsidP="00E43655">
                      <w:pPr>
                        <w:pStyle w:val="NoSpacing"/>
                        <w:jc w:val="both"/>
                        <w:rPr>
                          <w:rFonts w:ascii="Tw Cen MT" w:hAnsi="Tw Cen MT" w:cstheme="majorHAnsi"/>
                          <w:i/>
                          <w:sz w:val="24"/>
                          <w:szCs w:val="20"/>
                        </w:rPr>
                      </w:pPr>
                      <w:r>
                        <w:rPr>
                          <w:rFonts w:ascii="Tw Cen MT" w:hAnsi="Tw Cen MT"/>
                          <w:i/>
                          <w:sz w:val="24"/>
                        </w:rPr>
                        <w:t>Résumé</w:t>
                      </w:r>
                    </w:p>
                    <w:p w14:paraId="28EFE99F" w14:textId="21098FE1" w:rsidR="00E43655" w:rsidRDefault="00E43655" w:rsidP="00E43655">
                      <w:pPr>
                        <w:pStyle w:val="NoSpacing"/>
                        <w:jc w:val="both"/>
                        <w:rPr>
                          <w:rFonts w:ascii="Tw Cen MT" w:hAnsi="Tw Cen MT" w:cstheme="majorHAnsi"/>
                          <w:sz w:val="20"/>
                          <w:szCs w:val="20"/>
                        </w:rPr>
                      </w:pPr>
                      <w:proofErr w:type="spellStart"/>
                      <w:r>
                        <w:rPr>
                          <w:rFonts w:ascii="Tw Cen MT" w:hAnsi="Tw Cen MT"/>
                          <w:sz w:val="20"/>
                        </w:rPr>
                        <w:t>Lʼévaluation</w:t>
                      </w:r>
                      <w:proofErr w:type="spellEnd"/>
                      <w:r>
                        <w:rPr>
                          <w:rFonts w:ascii="Tw Cen MT" w:hAnsi="Tw Cen MT"/>
                          <w:sz w:val="20"/>
                        </w:rPr>
                        <w:t xml:space="preserve"> multisectorielle des besoins consiste en des entretiens avec des informateurs clés et est effectuée de manière rapide et régulière. Les résultats peuvent être utilisés comme </w:t>
                      </w:r>
                      <w:r>
                        <w:rPr>
                          <w:rFonts w:ascii="Tw Cen MT" w:hAnsi="Tw Cen MT"/>
                          <w:b/>
                          <w:sz w:val="20"/>
                        </w:rPr>
                        <w:t xml:space="preserve">une indication des éventuelles lacunes observées dans les services de lutte contre la VBG et des risques </w:t>
                      </w:r>
                      <w:r w:rsidRPr="00E42AFB">
                        <w:rPr>
                          <w:rFonts w:ascii="Tw Cen MT" w:hAnsi="Tw Cen MT"/>
                          <w:b/>
                          <w:sz w:val="20"/>
                        </w:rPr>
                        <w:t>potentiels de VBG.</w:t>
                      </w:r>
                      <w:r w:rsidRPr="00E42AFB">
                        <w:rPr>
                          <w:rFonts w:ascii="Tw Cen MT" w:hAnsi="Tw Cen MT"/>
                          <w:sz w:val="20"/>
                        </w:rPr>
                        <w:t xml:space="preserve"> Le personnel de la DTM ainsi que les coordinateurs des sous-clusters VBG et les SGI jouent un rôle dans la création du questionnaire. Quatre catégories de questions ont été incluses dans le Field </w:t>
                      </w:r>
                      <w:proofErr w:type="spellStart"/>
                      <w:r w:rsidRPr="00E42AFB">
                        <w:rPr>
                          <w:rFonts w:ascii="Tw Cen MT" w:hAnsi="Tw Cen MT"/>
                          <w:sz w:val="20"/>
                        </w:rPr>
                        <w:t>Companion</w:t>
                      </w:r>
                      <w:proofErr w:type="spellEnd"/>
                      <w:r w:rsidRPr="00E42AFB">
                        <w:rPr>
                          <w:rFonts w:ascii="Tw Cen MT" w:hAnsi="Tw Cen MT"/>
                          <w:sz w:val="20"/>
                        </w:rPr>
                        <w:t xml:space="preserve"> (disponibilité des services VBG, </w:t>
                      </w:r>
                      <w:r w:rsidR="000C2784" w:rsidRPr="00E42AFB">
                        <w:rPr>
                          <w:rFonts w:ascii="Tw Cen MT" w:hAnsi="Tw Cen MT" w:cstheme="majorHAnsi"/>
                          <w:sz w:val="20"/>
                          <w:szCs w:val="20"/>
                        </w:rPr>
                        <w:t>informations sur la distance et le coût</w:t>
                      </w:r>
                      <w:r w:rsidR="000C2784" w:rsidRPr="00E42AFB">
                        <w:rPr>
                          <w:rFonts w:ascii="Tw Cen MT" w:hAnsi="Tw Cen MT"/>
                          <w:sz w:val="20"/>
                        </w:rPr>
                        <w:t xml:space="preserve"> des </w:t>
                      </w:r>
                      <w:r w:rsidR="000C2784" w:rsidRPr="00E42AFB">
                        <w:rPr>
                          <w:rFonts w:ascii="Tw Cen MT" w:hAnsi="Tw Cen MT" w:cstheme="majorHAnsi"/>
                          <w:sz w:val="20"/>
                          <w:szCs w:val="20"/>
                        </w:rPr>
                        <w:t xml:space="preserve">biens et services de </w:t>
                      </w:r>
                      <w:proofErr w:type="gramStart"/>
                      <w:r w:rsidR="000C2784" w:rsidRPr="00E42AFB">
                        <w:rPr>
                          <w:rFonts w:ascii="Tw Cen MT" w:hAnsi="Tw Cen MT" w:cstheme="majorHAnsi"/>
                          <w:sz w:val="20"/>
                          <w:szCs w:val="20"/>
                        </w:rPr>
                        <w:t xml:space="preserve">base </w:t>
                      </w:r>
                      <w:r w:rsidR="000C2784" w:rsidRPr="00E42AFB">
                        <w:rPr>
                          <w:rFonts w:ascii="Tw Cen MT" w:hAnsi="Tw Cen MT" w:cstheme="majorHAnsi"/>
                          <w:sz w:val="20"/>
                          <w:szCs w:val="20"/>
                        </w:rPr>
                        <w:t>,</w:t>
                      </w:r>
                      <w:proofErr w:type="gramEnd"/>
                      <w:r w:rsidR="000C2784" w:rsidRPr="00E42AFB">
                        <w:rPr>
                          <w:rFonts w:ascii="Tw Cen MT" w:hAnsi="Tw Cen MT" w:cstheme="majorHAnsi"/>
                          <w:sz w:val="20"/>
                          <w:szCs w:val="20"/>
                        </w:rPr>
                        <w:t xml:space="preserve"> </w:t>
                      </w:r>
                      <w:r w:rsidRPr="00E42AFB">
                        <w:rPr>
                          <w:rFonts w:ascii="Tw Cen MT" w:hAnsi="Tw Cen MT"/>
                          <w:sz w:val="20"/>
                        </w:rPr>
                        <w:t>questions générales de protection et indicateurs</w:t>
                      </w:r>
                      <w:r>
                        <w:rPr>
                          <w:rFonts w:ascii="Tw Cen MT" w:hAnsi="Tw Cen MT"/>
                          <w:sz w:val="20"/>
                        </w:rPr>
                        <w:t xml:space="preserve"> indirects sur les risques de VBG). </w:t>
                      </w:r>
                    </w:p>
                    <w:p w14:paraId="3760E3BE" w14:textId="19B4B025" w:rsidR="00E43655" w:rsidRDefault="00E43655" w:rsidP="00E43655">
                      <w:pPr>
                        <w:pStyle w:val="NoSpacing"/>
                        <w:jc w:val="both"/>
                        <w:rPr>
                          <w:rFonts w:ascii="Tw Cen MT" w:hAnsi="Tw Cen MT" w:cstheme="majorHAnsi"/>
                          <w:sz w:val="20"/>
                          <w:szCs w:val="20"/>
                        </w:rPr>
                      </w:pPr>
                      <w:r>
                        <w:rPr>
                          <w:rFonts w:ascii="Tw Cen MT" w:hAnsi="Tw Cen MT"/>
                          <w:sz w:val="20"/>
                        </w:rPr>
                        <w:t>Les données de la DTM doivent être analysées régulièrement pour mettre en lumière les lacunes potentielles au sein des services, les risques de VBG et là où les acteurs peuvent effectuer des évaluations de suivi afin de vérifier les données de la DTM et éclairer la réponse à la VBG.</w:t>
                      </w:r>
                    </w:p>
                    <w:p w14:paraId="7CAE51E7" w14:textId="4134C56D" w:rsidR="00E43655" w:rsidRPr="00E43655" w:rsidRDefault="00E43655" w:rsidP="00E43655">
                      <w:pPr>
                        <w:pStyle w:val="NoSpacing"/>
                        <w:jc w:val="both"/>
                        <w:rPr>
                          <w:rFonts w:ascii="Tw Cen MT" w:hAnsi="Tw Cen MT" w:cstheme="majorHAnsi"/>
                          <w:b/>
                          <w:sz w:val="20"/>
                          <w:szCs w:val="20"/>
                        </w:rPr>
                      </w:pPr>
                      <w:r>
                        <w:rPr>
                          <w:rFonts w:ascii="Tw Cen MT" w:hAnsi="Tw Cen MT"/>
                          <w:sz w:val="20"/>
                        </w:rPr>
                        <w:t xml:space="preserve">S'assurer que quel que soit l’endroit où la DTM est mise en place, il </w:t>
                      </w:r>
                      <w:proofErr w:type="spellStart"/>
                      <w:r>
                        <w:rPr>
                          <w:rFonts w:ascii="Tw Cen MT" w:hAnsi="Tw Cen MT"/>
                          <w:sz w:val="20"/>
                        </w:rPr>
                        <w:t>nʼy</w:t>
                      </w:r>
                      <w:proofErr w:type="spellEnd"/>
                      <w:r>
                        <w:rPr>
                          <w:rFonts w:ascii="Tw Cen MT" w:hAnsi="Tw Cen MT"/>
                          <w:sz w:val="20"/>
                        </w:rPr>
                        <w:t xml:space="preserve"> a </w:t>
                      </w:r>
                      <w:r>
                        <w:rPr>
                          <w:rFonts w:ascii="Tw Cen MT" w:hAnsi="Tw Cen MT"/>
                          <w:b/>
                          <w:sz w:val="20"/>
                        </w:rPr>
                        <w:t xml:space="preserve">pas de questions sur </w:t>
                      </w:r>
                      <w:proofErr w:type="spellStart"/>
                      <w:r>
                        <w:rPr>
                          <w:rFonts w:ascii="Tw Cen MT" w:hAnsi="Tw Cen MT"/>
                          <w:b/>
                          <w:sz w:val="20"/>
                        </w:rPr>
                        <w:t>lʼincidence</w:t>
                      </w:r>
                      <w:proofErr w:type="spellEnd"/>
                      <w:r>
                        <w:rPr>
                          <w:rFonts w:ascii="Tw Cen MT" w:hAnsi="Tw Cen MT"/>
                          <w:b/>
                          <w:sz w:val="20"/>
                        </w:rPr>
                        <w:t>, la prévalence ou les types de VBG.</w:t>
                      </w:r>
                    </w:p>
                  </w:txbxContent>
                </v:textbox>
                <w10:wrap anchorx="margin"/>
              </v:shape>
            </w:pict>
          </mc:Fallback>
        </mc:AlternateContent>
      </w:r>
    </w:p>
    <w:p w14:paraId="2C1F191E" w14:textId="280FD662" w:rsidR="006C081F" w:rsidRPr="006F16B3" w:rsidRDefault="006C081F" w:rsidP="007F5E63">
      <w:pPr>
        <w:pStyle w:val="NoSpacing"/>
        <w:jc w:val="both"/>
        <w:rPr>
          <w:rFonts w:ascii="Tw Cen MT" w:hAnsi="Tw Cen MT" w:cs="Arial"/>
          <w:i/>
          <w:sz w:val="28"/>
        </w:rPr>
      </w:pPr>
    </w:p>
    <w:p w14:paraId="65A3950B" w14:textId="77777777" w:rsidR="00B54B16" w:rsidRPr="006F16B3" w:rsidRDefault="00B54B16" w:rsidP="007F5E63">
      <w:pPr>
        <w:pStyle w:val="NoSpacing"/>
        <w:jc w:val="both"/>
        <w:rPr>
          <w:rFonts w:ascii="Tw Cen MT" w:hAnsi="Tw Cen MT" w:cs="Arial"/>
          <w:i/>
          <w:sz w:val="28"/>
        </w:rPr>
      </w:pPr>
    </w:p>
    <w:p w14:paraId="1D064E4E" w14:textId="654C9812" w:rsidR="001B1D5F" w:rsidRPr="006F16B3" w:rsidRDefault="001B1D5F" w:rsidP="007F5E63">
      <w:pPr>
        <w:pStyle w:val="NoSpacing"/>
        <w:jc w:val="both"/>
        <w:rPr>
          <w:rFonts w:ascii="Tw Cen MT" w:hAnsi="Tw Cen MT" w:cstheme="majorHAnsi"/>
          <w:sz w:val="20"/>
          <w:szCs w:val="20"/>
        </w:rPr>
      </w:pPr>
    </w:p>
    <w:p w14:paraId="3F059B63" w14:textId="77777777" w:rsidR="00D91B8D" w:rsidRPr="006F16B3" w:rsidRDefault="00D91B8D" w:rsidP="00354F50">
      <w:pPr>
        <w:pStyle w:val="NoSpacing"/>
        <w:rPr>
          <w:rFonts w:ascii="Arial" w:hAnsi="Arial" w:cs="Arial"/>
        </w:rPr>
      </w:pPr>
    </w:p>
    <w:sectPr w:rsidR="00D91B8D" w:rsidRPr="006F16B3" w:rsidSect="00846E38">
      <w:footerReference w:type="default" r:id="rId8"/>
      <w:headerReference w:type="first" r:id="rId9"/>
      <w:pgSz w:w="11906" w:h="16838"/>
      <w:pgMar w:top="1417" w:right="1274"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366E" w14:textId="77777777" w:rsidR="00F15CFA" w:rsidRDefault="00F15CFA" w:rsidP="00235660">
      <w:pPr>
        <w:spacing w:after="0" w:line="240" w:lineRule="auto"/>
      </w:pPr>
      <w:r>
        <w:separator/>
      </w:r>
    </w:p>
  </w:endnote>
  <w:endnote w:type="continuationSeparator" w:id="0">
    <w:p w14:paraId="7E47B92D" w14:textId="77777777" w:rsidR="00F15CFA" w:rsidRDefault="00F15CFA" w:rsidP="002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5970"/>
      <w:docPartObj>
        <w:docPartGallery w:val="Page Numbers (Bottom of Page)"/>
        <w:docPartUnique/>
      </w:docPartObj>
    </w:sdtPr>
    <w:sdtEndPr>
      <w:rPr>
        <w:rFonts w:asciiTheme="majorHAnsi" w:hAnsiTheme="majorHAnsi" w:cstheme="majorHAnsi"/>
        <w:sz w:val="16"/>
        <w:szCs w:val="16"/>
      </w:rPr>
    </w:sdtEndPr>
    <w:sdtContent>
      <w:p w14:paraId="1AF4F598" w14:textId="77777777" w:rsidR="00235660" w:rsidRPr="00235660" w:rsidRDefault="00235660" w:rsidP="00235660">
        <w:pPr>
          <w:pStyle w:val="Footer"/>
          <w:jc w:val="right"/>
          <w:rPr>
            <w:rFonts w:asciiTheme="majorHAnsi" w:hAnsiTheme="majorHAnsi" w:cstheme="majorHAnsi"/>
            <w:sz w:val="16"/>
            <w:szCs w:val="16"/>
          </w:rPr>
        </w:pPr>
        <w:r w:rsidRPr="00235660">
          <w:rPr>
            <w:rFonts w:asciiTheme="majorHAnsi" w:hAnsiTheme="majorHAnsi" w:cstheme="majorHAnsi"/>
            <w:sz w:val="16"/>
          </w:rPr>
          <w:fldChar w:fldCharType="begin"/>
        </w:r>
        <w:r w:rsidRPr="00235660">
          <w:rPr>
            <w:rFonts w:asciiTheme="majorHAnsi" w:hAnsiTheme="majorHAnsi" w:cstheme="majorHAnsi"/>
            <w:sz w:val="16"/>
          </w:rPr>
          <w:instrText>PAGE   \* MERGEFORMAT</w:instrText>
        </w:r>
        <w:r w:rsidRPr="00235660">
          <w:rPr>
            <w:rFonts w:asciiTheme="majorHAnsi" w:hAnsiTheme="majorHAnsi" w:cstheme="majorHAnsi"/>
            <w:sz w:val="16"/>
          </w:rPr>
          <w:fldChar w:fldCharType="separate"/>
        </w:r>
        <w:r w:rsidR="006F16B3">
          <w:rPr>
            <w:rFonts w:asciiTheme="majorHAnsi" w:hAnsiTheme="majorHAnsi" w:cstheme="majorHAnsi"/>
            <w:noProof/>
            <w:sz w:val="16"/>
          </w:rPr>
          <w:t>2</w:t>
        </w:r>
        <w:r w:rsidRPr="00235660">
          <w:rPr>
            <w:rFonts w:asciiTheme="majorHAnsi" w:hAnsiTheme="majorHAnsi" w:cstheme="majorHAnsi"/>
            <w:sz w:val="16"/>
          </w:rPr>
          <w:fldChar w:fldCharType="end"/>
        </w:r>
      </w:p>
    </w:sdtContent>
  </w:sdt>
  <w:p w14:paraId="427E7EFE" w14:textId="77777777" w:rsidR="00235660" w:rsidRDefault="0023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E0FE" w14:textId="77777777" w:rsidR="00F15CFA" w:rsidRDefault="00F15CFA" w:rsidP="00235660">
      <w:pPr>
        <w:spacing w:after="0" w:line="240" w:lineRule="auto"/>
      </w:pPr>
      <w:r>
        <w:separator/>
      </w:r>
    </w:p>
  </w:footnote>
  <w:footnote w:type="continuationSeparator" w:id="0">
    <w:p w14:paraId="6EBEF783" w14:textId="77777777" w:rsidR="00F15CFA" w:rsidRDefault="00F15CFA" w:rsidP="00235660">
      <w:pPr>
        <w:spacing w:after="0" w:line="240" w:lineRule="auto"/>
      </w:pPr>
      <w:r>
        <w:continuationSeparator/>
      </w:r>
    </w:p>
  </w:footnote>
  <w:footnote w:id="1">
    <w:p w14:paraId="56CAFC7F" w14:textId="0AF8078A" w:rsidR="00E72B44" w:rsidRPr="0082266E" w:rsidRDefault="00E72B44" w:rsidP="003E0B36">
      <w:pPr>
        <w:pStyle w:val="FootnoteText"/>
        <w:jc w:val="both"/>
        <w:rPr>
          <w:rFonts w:ascii="Tw Cen MT" w:hAnsi="Tw Cen MT"/>
          <w:sz w:val="18"/>
          <w:szCs w:val="18"/>
        </w:rPr>
      </w:pPr>
      <w:r>
        <w:rPr>
          <w:rStyle w:val="FootnoteReference"/>
          <w:rFonts w:ascii="Tw Cen MT" w:hAnsi="Tw Cen MT"/>
          <w:sz w:val="18"/>
          <w:szCs w:val="18"/>
        </w:rPr>
        <w:footnoteRef/>
      </w:r>
      <w:r>
        <w:rPr>
          <w:rFonts w:ascii="Tw Cen MT" w:hAnsi="Tw Cen MT"/>
          <w:sz w:val="18"/>
        </w:rPr>
        <w:t xml:space="preserve"> Le DTM Field </w:t>
      </w:r>
      <w:proofErr w:type="spellStart"/>
      <w:r>
        <w:rPr>
          <w:rFonts w:ascii="Tw Cen MT" w:hAnsi="Tw Cen MT"/>
          <w:sz w:val="18"/>
        </w:rPr>
        <w:t>Companion</w:t>
      </w:r>
      <w:proofErr w:type="spellEnd"/>
      <w:r>
        <w:rPr>
          <w:rFonts w:ascii="Tw Cen MT" w:hAnsi="Tw Cen MT"/>
          <w:sz w:val="18"/>
        </w:rPr>
        <w:t xml:space="preserve"> est disponible aux formats</w:t>
      </w:r>
      <w:r>
        <w:t xml:space="preserve"> </w:t>
      </w:r>
      <w:hyperlink r:id="rId1" w:history="1">
        <w:r>
          <w:rPr>
            <w:rStyle w:val="Hyperlink"/>
            <w:rFonts w:ascii="Tw Cen MT" w:hAnsi="Tw Cen MT"/>
            <w:sz w:val="18"/>
            <w:szCs w:val="18"/>
          </w:rPr>
          <w:t>Excel</w:t>
        </w:r>
      </w:hyperlink>
      <w:r>
        <w:t xml:space="preserve"> </w:t>
      </w:r>
      <w:r>
        <w:rPr>
          <w:rFonts w:ascii="Tw Cen MT" w:hAnsi="Tw Cen MT"/>
          <w:sz w:val="18"/>
        </w:rPr>
        <w:t>et</w:t>
      </w:r>
      <w:r>
        <w:t xml:space="preserve"> </w:t>
      </w:r>
      <w:hyperlink r:id="rId2" w:history="1">
        <w:r>
          <w:rPr>
            <w:rStyle w:val="Hyperlink"/>
            <w:rFonts w:ascii="Tw Cen MT" w:hAnsi="Tw Cen MT"/>
            <w:sz w:val="18"/>
            <w:szCs w:val="18"/>
          </w:rPr>
          <w:t>PDF</w:t>
        </w:r>
      </w:hyperlink>
      <w:r>
        <w:t xml:space="preserve"> </w:t>
      </w:r>
      <w:r>
        <w:rPr>
          <w:rFonts w:ascii="Tw Cen MT" w:hAnsi="Tw Cen MT"/>
          <w:sz w:val="18"/>
        </w:rPr>
        <w:t xml:space="preserve">dans la DTM &amp; </w:t>
      </w:r>
      <w:proofErr w:type="spellStart"/>
      <w:r>
        <w:rPr>
          <w:rFonts w:ascii="Tw Cen MT" w:hAnsi="Tw Cen MT"/>
          <w:sz w:val="18"/>
        </w:rPr>
        <w:t>Partners</w:t>
      </w:r>
      <w:proofErr w:type="spellEnd"/>
      <w:r>
        <w:rPr>
          <w:rFonts w:ascii="Tw Cen MT" w:hAnsi="Tw Cen MT"/>
          <w:sz w:val="18"/>
        </w:rPr>
        <w:t xml:space="preserve"> Toolkit (boîte à outils DTM et Partenaires). </w:t>
      </w:r>
      <w:hyperlink r:id="rId3" w:history="1">
        <w:r>
          <w:rPr>
            <w:rStyle w:val="Hyperlink"/>
            <w:rFonts w:ascii="Tw Cen MT" w:hAnsi="Tw Cen MT"/>
            <w:sz w:val="18"/>
            <w:szCs w:val="18"/>
          </w:rPr>
          <w:t xml:space="preserve">Une introduction au Field </w:t>
        </w:r>
        <w:proofErr w:type="spellStart"/>
        <w:r>
          <w:rPr>
            <w:rStyle w:val="Hyperlink"/>
            <w:rFonts w:ascii="Tw Cen MT" w:hAnsi="Tw Cen MT"/>
            <w:sz w:val="18"/>
            <w:szCs w:val="18"/>
          </w:rPr>
          <w:t>Companion</w:t>
        </w:r>
        <w:proofErr w:type="spellEnd"/>
      </w:hyperlink>
      <w:r>
        <w:t xml:space="preserve"> </w:t>
      </w:r>
      <w:r>
        <w:rPr>
          <w:rFonts w:ascii="Tw Cen MT" w:hAnsi="Tw Cen MT"/>
          <w:sz w:val="18"/>
        </w:rPr>
        <w:t>est également disponible. Des conseils spécifiques sur la VBG peuvent également être trouvés dans la</w:t>
      </w:r>
      <w:r>
        <w:t xml:space="preserve"> </w:t>
      </w:r>
      <w:hyperlink r:id="rId4" w:history="1">
        <w:r>
          <w:rPr>
            <w:rStyle w:val="Hyperlink"/>
            <w:rFonts w:ascii="Tw Cen MT" w:hAnsi="Tw Cen MT"/>
            <w:sz w:val="18"/>
            <w:szCs w:val="18"/>
          </w:rPr>
          <w:t xml:space="preserve">DTM &amp; </w:t>
        </w:r>
        <w:proofErr w:type="spellStart"/>
        <w:r>
          <w:rPr>
            <w:rStyle w:val="Hyperlink"/>
            <w:rFonts w:ascii="Tw Cen MT" w:hAnsi="Tw Cen MT"/>
            <w:sz w:val="18"/>
            <w:szCs w:val="18"/>
          </w:rPr>
          <w:t>Partners</w:t>
        </w:r>
        <w:proofErr w:type="spellEnd"/>
        <w:r>
          <w:rPr>
            <w:rStyle w:val="Hyperlink"/>
            <w:rFonts w:ascii="Tw Cen MT" w:hAnsi="Tw Cen MT"/>
            <w:sz w:val="18"/>
            <w:szCs w:val="18"/>
          </w:rPr>
          <w:t xml:space="preserve"> Toolkit</w:t>
        </w:r>
      </w:hyperlink>
      <w:r>
        <w:rPr>
          <w:rFonts w:ascii="Tw Cen MT" w:hAnsi="Tw Cen MT"/>
          <w:sz w:val="18"/>
        </w:rPr>
        <w:t xml:space="preserve">. </w:t>
      </w:r>
    </w:p>
  </w:footnote>
  <w:footnote w:id="2">
    <w:p w14:paraId="142DB610" w14:textId="2634A635" w:rsidR="006C081F" w:rsidRPr="00CE68AE" w:rsidRDefault="006C081F" w:rsidP="00CE68AE">
      <w:pPr>
        <w:pStyle w:val="FootnoteText"/>
        <w:jc w:val="both"/>
        <w:rPr>
          <w:rFonts w:ascii="Tw Cen MT" w:hAnsi="Tw Cen MT"/>
          <w:sz w:val="18"/>
          <w:szCs w:val="18"/>
        </w:rPr>
      </w:pPr>
      <w:r>
        <w:rPr>
          <w:rStyle w:val="FootnoteReference"/>
          <w:rFonts w:ascii="Tw Cen MT" w:hAnsi="Tw Cen MT"/>
          <w:sz w:val="18"/>
          <w:szCs w:val="18"/>
        </w:rPr>
        <w:footnoteRef/>
      </w:r>
      <w:r>
        <w:rPr>
          <w:rFonts w:ascii="Tw Cen MT" w:hAnsi="Tw Cen MT"/>
          <w:sz w:val="18"/>
        </w:rPr>
        <w:t xml:space="preserve"> «  Dans les situations d’urgence, l’attente ou la recherche de données démographiques sur l’ampleur réelle de la question ne doit pas être une priorité, compte tenu des problèmes de sécurité et d’éthique que soulève la collecte de telles données. Dans ce contexte, tous les membres du personnel humanitaire ont le devoir de considérer la violence basée sur le genre comme un état de fait et une menace pour les populations touchées, de traiter cette question comme un problème grave qui met la vie des personnes en danger et </w:t>
      </w:r>
      <w:r>
        <w:rPr>
          <w:rFonts w:ascii="Tw Cen MT" w:hAnsi="Tw Cen MT"/>
          <w:b/>
          <w:sz w:val="18"/>
        </w:rPr>
        <w:t>d’appliquer les mesures sectorielles recommandées dans les présentes Directives, indépendamment de la présence ou de l’absence de « preuves » concrètes</w:t>
      </w:r>
      <w:r>
        <w:rPr>
          <w:rFonts w:ascii="Tw Cen MT" w:hAnsi="Tw Cen MT"/>
          <w:sz w:val="18"/>
        </w:rPr>
        <w:t xml:space="preserve">. » </w:t>
      </w:r>
      <w:hyperlink r:id="rId5" w:history="1">
        <w:r>
          <w:rPr>
            <w:rStyle w:val="Hyperlink"/>
            <w:rFonts w:ascii="Tw Cen MT" w:hAnsi="Tw Cen MT"/>
            <w:sz w:val="18"/>
            <w:szCs w:val="18"/>
          </w:rPr>
          <w:t>Directives du Comité permanent inter-organisations pour l’intégration d’interventions ciblant la violence basée sur le genre dans l’action humanitaire</w:t>
        </w:r>
      </w:hyperlink>
      <w:r>
        <w:rPr>
          <w:rFonts w:ascii="Tw Cen MT" w:hAnsi="Tw Cen MT"/>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517" w14:textId="21A2B864" w:rsidR="00B45A0D" w:rsidRDefault="00B45A0D">
    <w:pPr>
      <w:pStyle w:val="Header"/>
    </w:pPr>
    <w:r>
      <w:rPr>
        <w:noProof/>
        <w:lang w:val="en-US" w:eastAsia="zh-CN"/>
      </w:rPr>
      <mc:AlternateContent>
        <mc:Choice Requires="wps">
          <w:drawing>
            <wp:anchor distT="45720" distB="45720" distL="114300" distR="114300" simplePos="0" relativeHeight="251661312" behindDoc="0" locked="0" layoutInCell="1" allowOverlap="1" wp14:anchorId="7A888E18" wp14:editId="6181F3F0">
              <wp:simplePos x="0" y="0"/>
              <wp:positionH relativeFrom="margin">
                <wp:posOffset>657225</wp:posOffset>
              </wp:positionH>
              <wp:positionV relativeFrom="paragraph">
                <wp:posOffset>-365760</wp:posOffset>
              </wp:positionV>
              <wp:extent cx="5913120" cy="670560"/>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70560"/>
                      </a:xfrm>
                      <a:prstGeom prst="rect">
                        <a:avLst/>
                      </a:prstGeom>
                      <a:solidFill>
                        <a:srgbClr val="FFFFFF"/>
                      </a:solidFill>
                      <a:ln w="9525">
                        <a:noFill/>
                        <a:miter lim="800000"/>
                        <a:headEnd/>
                        <a:tailEnd/>
                      </a:ln>
                    </wps:spPr>
                    <wps:txbx>
                      <w:txbxContent>
                        <w:p w14:paraId="69CE664D" w14:textId="76D97ABC" w:rsidR="00B45A0D" w:rsidRPr="00846E38" w:rsidRDefault="00B45A0D" w:rsidP="00B45A0D">
                          <w:pPr>
                            <w:pStyle w:val="NoSpacing"/>
                            <w:rPr>
                              <w:rFonts w:ascii="Tw Cen MT" w:hAnsi="Tw Cen MT"/>
                              <w:sz w:val="24"/>
                              <w:szCs w:val="24"/>
                            </w:rPr>
                          </w:pPr>
                          <w:r w:rsidRPr="00846E38">
                            <w:rPr>
                              <w:rFonts w:ascii="Tw Cen MT" w:hAnsi="Tw Cen MT"/>
                              <w:sz w:val="24"/>
                              <w:szCs w:val="24"/>
                            </w:rPr>
                            <w:t>MATRICE DE SUIVI DES DÉPLACEMENTS – VIOLENCE BASÉE SUR LE GENRE</w:t>
                          </w:r>
                        </w:p>
                        <w:p w14:paraId="0A18215E" w14:textId="77777777" w:rsidR="00E43655" w:rsidRPr="00846E38" w:rsidRDefault="00A90858" w:rsidP="00B45A0D">
                          <w:pPr>
                            <w:pStyle w:val="NoSpacing"/>
                            <w:rPr>
                              <w:rFonts w:ascii="Tw Cen MT" w:hAnsi="Tw Cen MT"/>
                              <w:b/>
                              <w:sz w:val="24"/>
                              <w:szCs w:val="24"/>
                            </w:rPr>
                          </w:pPr>
                          <w:r w:rsidRPr="00846E38">
                            <w:rPr>
                              <w:rFonts w:ascii="Tw Cen MT" w:hAnsi="Tw Cen MT"/>
                              <w:b/>
                              <w:sz w:val="24"/>
                              <w:szCs w:val="24"/>
                            </w:rPr>
                            <w:t xml:space="preserve">Utilisation de </w:t>
                          </w:r>
                          <w:proofErr w:type="spellStart"/>
                          <w:r w:rsidRPr="00846E38">
                            <w:rPr>
                              <w:rFonts w:ascii="Tw Cen MT" w:hAnsi="Tw Cen MT"/>
                              <w:b/>
                              <w:sz w:val="24"/>
                              <w:szCs w:val="24"/>
                            </w:rPr>
                            <w:t>lʼévaluation</w:t>
                          </w:r>
                          <w:proofErr w:type="spellEnd"/>
                          <w:r w:rsidRPr="00846E38">
                            <w:rPr>
                              <w:rFonts w:ascii="Tw Cen MT" w:hAnsi="Tw Cen MT"/>
                              <w:b/>
                              <w:sz w:val="24"/>
                              <w:szCs w:val="24"/>
                            </w:rPr>
                            <w:t xml:space="preserve"> multisectorielle de site de la DTM </w:t>
                          </w:r>
                        </w:p>
                        <w:p w14:paraId="511A7E6D" w14:textId="5AC4C93F" w:rsidR="00C8216B" w:rsidRPr="00846E38" w:rsidRDefault="00A90858" w:rsidP="00B45A0D">
                          <w:pPr>
                            <w:pStyle w:val="NoSpacing"/>
                            <w:rPr>
                              <w:rFonts w:ascii="Tw Cen MT" w:hAnsi="Tw Cen MT"/>
                              <w:sz w:val="24"/>
                              <w:szCs w:val="24"/>
                            </w:rPr>
                          </w:pPr>
                          <w:proofErr w:type="gramStart"/>
                          <w:r w:rsidRPr="00846E38">
                            <w:rPr>
                              <w:rFonts w:ascii="Tw Cen MT" w:hAnsi="Tw Cen MT"/>
                              <w:b/>
                              <w:sz w:val="24"/>
                              <w:szCs w:val="24"/>
                            </w:rPr>
                            <w:t>pour</w:t>
                          </w:r>
                          <w:proofErr w:type="gramEnd"/>
                          <w:r w:rsidRPr="00846E38">
                            <w:rPr>
                              <w:rFonts w:ascii="Tw Cen MT" w:hAnsi="Tw Cen MT"/>
                              <w:b/>
                              <w:sz w:val="24"/>
                              <w:szCs w:val="24"/>
                            </w:rPr>
                            <w:t xml:space="preserve"> éclairer la réponse à la violence basée sur le genre (VBG)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88E18" id="_x0000_t202" coordsize="21600,21600" o:spt="202" path="m,l,21600r21600,l21600,xe">
              <v:stroke joinstyle="miter"/>
              <v:path gradientshapeok="t" o:connecttype="rect"/>
            </v:shapetype>
            <v:shape id="_x0000_s1028" type="#_x0000_t202" style="position:absolute;margin-left:51.75pt;margin-top:-28.8pt;width:465.6pt;height:5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mVDQIAAPY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L1fT9dEYhSbHlVb5Ypqlkoni+7dCHTwo6Fo2SIw01oYvjvQ+xGlE8p8THPBhd77QxycF9&#10;tTXIjoIEsEsrNfAqzVjWl3y1mC0SsoV4P2mj04EEanRX8us8rlEykY2Ptk4pQWgz2lSJsSd6IiMj&#10;N2GoBkqMNFVQPxJRCKMQ6eOQ0QL+4awnEZbc/z4IVJyZz5bIXk3n86ja5MwXV5EmvIxUlxFhJUGV&#10;PHA2mtuQlB55sHBLQ2l04uulklOtJK5E4+kjRPVe+inr5btungAAAP//AwBQSwMEFAAGAAgAAAAh&#10;ACoQkm3fAAAACwEAAA8AAABkcnMvZG93bnJldi54bWxMj8tOwzAQRfdI/IM1SGxQa0PzKGmcCpBA&#10;bFv6AZNkmkSNx1HsNunf465geTVH957Jt7PpxYVG11nW8LxUIIgrW3fcaDj8fC7WIJxHrrG3TBqu&#10;5GBb3N/lmNV24h1d9r4RoYRdhhpa74dMSle1ZNAt7UAcbkc7GvQhjo2sR5xCuenli1KJNNhxWGhx&#10;oI+WqtP+bDQcv6en+HUqv/wh3UXJO3Zpaa9aPz7MbxsQnmb/B8NNP6hDEZxKe+baiT5ktYoDqmER&#10;pwmIG6FWUQqi1BCtFcgil/9/KH4BAAD//wMAUEsBAi0AFAAGAAgAAAAhALaDOJL+AAAA4QEAABMA&#10;AAAAAAAAAAAAAAAAAAAAAFtDb250ZW50X1R5cGVzXS54bWxQSwECLQAUAAYACAAAACEAOP0h/9YA&#10;AACUAQAACwAAAAAAAAAAAAAAAAAvAQAAX3JlbHMvLnJlbHNQSwECLQAUAAYACAAAACEAIekplQ0C&#10;AAD2AwAADgAAAAAAAAAAAAAAAAAuAgAAZHJzL2Uyb0RvYy54bWxQSwECLQAUAAYACAAAACEAKhCS&#10;bd8AAAALAQAADwAAAAAAAAAAAAAAAABnBAAAZHJzL2Rvd25yZXYueG1sUEsFBgAAAAAEAAQA8wAA&#10;AHMFAAAAAA==&#10;" stroked="f">
              <v:textbox>
                <w:txbxContent>
                  <w:p w14:paraId="69CE664D" w14:textId="76D97ABC" w:rsidR="00B45A0D" w:rsidRPr="00846E38" w:rsidRDefault="00B45A0D" w:rsidP="00B45A0D">
                    <w:pPr>
                      <w:pStyle w:val="NoSpacing"/>
                      <w:rPr>
                        <w:rFonts w:ascii="Tw Cen MT" w:hAnsi="Tw Cen MT"/>
                        <w:sz w:val="24"/>
                        <w:szCs w:val="24"/>
                      </w:rPr>
                    </w:pPr>
                    <w:r w:rsidRPr="00846E38">
                      <w:rPr>
                        <w:rFonts w:ascii="Tw Cen MT" w:hAnsi="Tw Cen MT"/>
                        <w:sz w:val="24"/>
                        <w:szCs w:val="24"/>
                      </w:rPr>
                      <w:t>MATRICE DE SUIVI DES DÉPLACEMENTS – VIOLENCE BASÉE SUR LE GENRE</w:t>
                    </w:r>
                  </w:p>
                  <w:p w14:paraId="0A18215E" w14:textId="77777777" w:rsidR="00E43655" w:rsidRPr="00846E38" w:rsidRDefault="00A90858" w:rsidP="00B45A0D">
                    <w:pPr>
                      <w:pStyle w:val="NoSpacing"/>
                      <w:rPr>
                        <w:rFonts w:ascii="Tw Cen MT" w:hAnsi="Tw Cen MT"/>
                        <w:b/>
                        <w:sz w:val="24"/>
                        <w:szCs w:val="24"/>
                      </w:rPr>
                    </w:pPr>
                    <w:r w:rsidRPr="00846E38">
                      <w:rPr>
                        <w:rFonts w:ascii="Tw Cen MT" w:hAnsi="Tw Cen MT"/>
                        <w:b/>
                        <w:sz w:val="24"/>
                        <w:szCs w:val="24"/>
                      </w:rPr>
                      <w:t xml:space="preserve">Utilisation de </w:t>
                    </w:r>
                    <w:proofErr w:type="spellStart"/>
                    <w:r w:rsidRPr="00846E38">
                      <w:rPr>
                        <w:rFonts w:ascii="Tw Cen MT" w:hAnsi="Tw Cen MT"/>
                        <w:b/>
                        <w:sz w:val="24"/>
                        <w:szCs w:val="24"/>
                      </w:rPr>
                      <w:t>lʼévaluation</w:t>
                    </w:r>
                    <w:proofErr w:type="spellEnd"/>
                    <w:r w:rsidRPr="00846E38">
                      <w:rPr>
                        <w:rFonts w:ascii="Tw Cen MT" w:hAnsi="Tw Cen MT"/>
                        <w:b/>
                        <w:sz w:val="24"/>
                        <w:szCs w:val="24"/>
                      </w:rPr>
                      <w:t xml:space="preserve"> multisectorielle de site de la DTM </w:t>
                    </w:r>
                  </w:p>
                  <w:p w14:paraId="511A7E6D" w14:textId="5AC4C93F" w:rsidR="00C8216B" w:rsidRPr="00846E38" w:rsidRDefault="00A90858" w:rsidP="00B45A0D">
                    <w:pPr>
                      <w:pStyle w:val="NoSpacing"/>
                      <w:rPr>
                        <w:rFonts w:ascii="Tw Cen MT" w:hAnsi="Tw Cen MT"/>
                        <w:sz w:val="24"/>
                        <w:szCs w:val="24"/>
                      </w:rPr>
                    </w:pPr>
                    <w:proofErr w:type="gramStart"/>
                    <w:r w:rsidRPr="00846E38">
                      <w:rPr>
                        <w:rFonts w:ascii="Tw Cen MT" w:hAnsi="Tw Cen MT"/>
                        <w:b/>
                        <w:sz w:val="24"/>
                        <w:szCs w:val="24"/>
                      </w:rPr>
                      <w:t>pour</w:t>
                    </w:r>
                    <w:proofErr w:type="gramEnd"/>
                    <w:r w:rsidRPr="00846E38">
                      <w:rPr>
                        <w:rFonts w:ascii="Tw Cen MT" w:hAnsi="Tw Cen MT"/>
                        <w:b/>
                        <w:sz w:val="24"/>
                        <w:szCs w:val="24"/>
                      </w:rPr>
                      <w:t xml:space="preserve"> éclairer la réponse à la violence basée sur le genre (VBG)</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9F"/>
    <w:multiLevelType w:val="hybridMultilevel"/>
    <w:tmpl w:val="13EC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81A39"/>
    <w:multiLevelType w:val="hybridMultilevel"/>
    <w:tmpl w:val="8A2C2952"/>
    <w:lvl w:ilvl="0" w:tplc="843C52B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A56C9B"/>
    <w:multiLevelType w:val="hybridMultilevel"/>
    <w:tmpl w:val="84F65EA4"/>
    <w:lvl w:ilvl="0" w:tplc="E74E5AE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D2F6648"/>
    <w:multiLevelType w:val="hybridMultilevel"/>
    <w:tmpl w:val="5718B0FA"/>
    <w:lvl w:ilvl="0" w:tplc="A9AE16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0EE25F3"/>
    <w:multiLevelType w:val="hybridMultilevel"/>
    <w:tmpl w:val="0FA6B6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27B11"/>
    <w:multiLevelType w:val="hybridMultilevel"/>
    <w:tmpl w:val="0CC8B816"/>
    <w:lvl w:ilvl="0" w:tplc="C14C22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C736AD"/>
    <w:multiLevelType w:val="hybridMultilevel"/>
    <w:tmpl w:val="98FCA38A"/>
    <w:lvl w:ilvl="0" w:tplc="948E8C8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D2C6028"/>
    <w:multiLevelType w:val="hybridMultilevel"/>
    <w:tmpl w:val="112657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882CF9"/>
    <w:multiLevelType w:val="hybridMultilevel"/>
    <w:tmpl w:val="ABFA207C"/>
    <w:lvl w:ilvl="0" w:tplc="3FB808DE">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9" w15:restartNumberingAfterBreak="0">
    <w:nsid w:val="28423265"/>
    <w:multiLevelType w:val="hybridMultilevel"/>
    <w:tmpl w:val="829AE12C"/>
    <w:lvl w:ilvl="0" w:tplc="A96075D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64766"/>
    <w:multiLevelType w:val="hybridMultilevel"/>
    <w:tmpl w:val="8CE6E8BA"/>
    <w:lvl w:ilvl="0" w:tplc="B6C2A5C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4A57249E"/>
    <w:multiLevelType w:val="hybridMultilevel"/>
    <w:tmpl w:val="B7061314"/>
    <w:lvl w:ilvl="0" w:tplc="91528D2E">
      <w:start w:val="1"/>
      <w:numFmt w:val="bullet"/>
      <w:lvlText w:val="-"/>
      <w:lvlJc w:val="left"/>
      <w:pPr>
        <w:ind w:left="3900" w:hanging="360"/>
      </w:pPr>
      <w:rPr>
        <w:rFonts w:ascii="Tw Cen MT" w:eastAsiaTheme="minorHAnsi" w:hAnsi="Tw Cen MT" w:cstheme="majorHAns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2" w15:restartNumberingAfterBreak="0">
    <w:nsid w:val="4BB81A83"/>
    <w:multiLevelType w:val="hybridMultilevel"/>
    <w:tmpl w:val="7E645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0F6229"/>
    <w:multiLevelType w:val="hybridMultilevel"/>
    <w:tmpl w:val="1ED08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1314DB"/>
    <w:multiLevelType w:val="hybridMultilevel"/>
    <w:tmpl w:val="26A04012"/>
    <w:lvl w:ilvl="0" w:tplc="4B22B9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632FA1"/>
    <w:multiLevelType w:val="hybridMultilevel"/>
    <w:tmpl w:val="ED90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7D374A"/>
    <w:multiLevelType w:val="hybridMultilevel"/>
    <w:tmpl w:val="3348B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7B42E4"/>
    <w:multiLevelType w:val="hybridMultilevel"/>
    <w:tmpl w:val="FBFA4B82"/>
    <w:lvl w:ilvl="0" w:tplc="A7387FA2">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A4E4F95"/>
    <w:multiLevelType w:val="hybridMultilevel"/>
    <w:tmpl w:val="BC661234"/>
    <w:lvl w:ilvl="0" w:tplc="6D6C6AC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7D323954"/>
    <w:multiLevelType w:val="hybridMultilevel"/>
    <w:tmpl w:val="D442682E"/>
    <w:lvl w:ilvl="0" w:tplc="B798B4FC">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7F692C95"/>
    <w:multiLevelType w:val="hybridMultilevel"/>
    <w:tmpl w:val="D7CA0F8E"/>
    <w:lvl w:ilvl="0" w:tplc="71A66F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5"/>
  </w:num>
  <w:num w:numId="2">
    <w:abstractNumId w:val="13"/>
  </w:num>
  <w:num w:numId="3">
    <w:abstractNumId w:val="12"/>
  </w:num>
  <w:num w:numId="4">
    <w:abstractNumId w:val="1"/>
  </w:num>
  <w:num w:numId="5">
    <w:abstractNumId w:val="0"/>
  </w:num>
  <w:num w:numId="6">
    <w:abstractNumId w:val="9"/>
  </w:num>
  <w:num w:numId="7">
    <w:abstractNumId w:val="7"/>
  </w:num>
  <w:num w:numId="8">
    <w:abstractNumId w:val="4"/>
  </w:num>
  <w:num w:numId="9">
    <w:abstractNumId w:val="10"/>
  </w:num>
  <w:num w:numId="10">
    <w:abstractNumId w:val="17"/>
  </w:num>
  <w:num w:numId="11">
    <w:abstractNumId w:val="18"/>
  </w:num>
  <w:num w:numId="12">
    <w:abstractNumId w:val="5"/>
  </w:num>
  <w:num w:numId="13">
    <w:abstractNumId w:val="19"/>
  </w:num>
  <w:num w:numId="14">
    <w:abstractNumId w:val="6"/>
  </w:num>
  <w:num w:numId="15">
    <w:abstractNumId w:val="2"/>
  </w:num>
  <w:num w:numId="16">
    <w:abstractNumId w:val="20"/>
  </w:num>
  <w:num w:numId="17">
    <w:abstractNumId w:val="8"/>
  </w:num>
  <w:num w:numId="18">
    <w:abstractNumId w:val="11"/>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50"/>
    <w:rsid w:val="0001540A"/>
    <w:rsid w:val="00040AEF"/>
    <w:rsid w:val="00064B8F"/>
    <w:rsid w:val="000677A1"/>
    <w:rsid w:val="00067A24"/>
    <w:rsid w:val="0007609F"/>
    <w:rsid w:val="000B43E4"/>
    <w:rsid w:val="000C2784"/>
    <w:rsid w:val="000C53DA"/>
    <w:rsid w:val="000D326D"/>
    <w:rsid w:val="00166F86"/>
    <w:rsid w:val="00170100"/>
    <w:rsid w:val="001A1C59"/>
    <w:rsid w:val="001B1D5F"/>
    <w:rsid w:val="001B6639"/>
    <w:rsid w:val="001C2176"/>
    <w:rsid w:val="00203A41"/>
    <w:rsid w:val="00235660"/>
    <w:rsid w:val="002552E7"/>
    <w:rsid w:val="002B5DDD"/>
    <w:rsid w:val="002B75D1"/>
    <w:rsid w:val="002D485E"/>
    <w:rsid w:val="002D5655"/>
    <w:rsid w:val="002E650D"/>
    <w:rsid w:val="002F23A3"/>
    <w:rsid w:val="00300831"/>
    <w:rsid w:val="00354F50"/>
    <w:rsid w:val="0035746E"/>
    <w:rsid w:val="003772E4"/>
    <w:rsid w:val="003C5348"/>
    <w:rsid w:val="003E0B36"/>
    <w:rsid w:val="003F6DE3"/>
    <w:rsid w:val="003F7221"/>
    <w:rsid w:val="0040740D"/>
    <w:rsid w:val="004106CD"/>
    <w:rsid w:val="00414EEE"/>
    <w:rsid w:val="00424E80"/>
    <w:rsid w:val="004601D5"/>
    <w:rsid w:val="004859DF"/>
    <w:rsid w:val="004D4323"/>
    <w:rsid w:val="00540219"/>
    <w:rsid w:val="00541A4B"/>
    <w:rsid w:val="00545F61"/>
    <w:rsid w:val="005818A3"/>
    <w:rsid w:val="005829C5"/>
    <w:rsid w:val="005A020F"/>
    <w:rsid w:val="005A18CB"/>
    <w:rsid w:val="005D25D1"/>
    <w:rsid w:val="00607182"/>
    <w:rsid w:val="006072C8"/>
    <w:rsid w:val="00642898"/>
    <w:rsid w:val="00666977"/>
    <w:rsid w:val="00666D4D"/>
    <w:rsid w:val="006C081F"/>
    <w:rsid w:val="006D189F"/>
    <w:rsid w:val="006F16B3"/>
    <w:rsid w:val="007363A0"/>
    <w:rsid w:val="00764680"/>
    <w:rsid w:val="0078234F"/>
    <w:rsid w:val="007E272E"/>
    <w:rsid w:val="007F5E63"/>
    <w:rsid w:val="00820F20"/>
    <w:rsid w:val="0082266E"/>
    <w:rsid w:val="00836E1B"/>
    <w:rsid w:val="00846E38"/>
    <w:rsid w:val="00847A3E"/>
    <w:rsid w:val="0086356F"/>
    <w:rsid w:val="008740E6"/>
    <w:rsid w:val="008B5B44"/>
    <w:rsid w:val="008B6F21"/>
    <w:rsid w:val="008C2F52"/>
    <w:rsid w:val="008E51B9"/>
    <w:rsid w:val="008F0328"/>
    <w:rsid w:val="00926145"/>
    <w:rsid w:val="00934633"/>
    <w:rsid w:val="00946131"/>
    <w:rsid w:val="00955D1F"/>
    <w:rsid w:val="00956271"/>
    <w:rsid w:val="00986EA4"/>
    <w:rsid w:val="009A1C86"/>
    <w:rsid w:val="009F34B2"/>
    <w:rsid w:val="00A00F56"/>
    <w:rsid w:val="00A17E5F"/>
    <w:rsid w:val="00A34064"/>
    <w:rsid w:val="00A36CED"/>
    <w:rsid w:val="00A64BC2"/>
    <w:rsid w:val="00A90858"/>
    <w:rsid w:val="00A925DF"/>
    <w:rsid w:val="00A95295"/>
    <w:rsid w:val="00AA7651"/>
    <w:rsid w:val="00AE2D81"/>
    <w:rsid w:val="00AE674D"/>
    <w:rsid w:val="00AF514F"/>
    <w:rsid w:val="00B327C5"/>
    <w:rsid w:val="00B45A0D"/>
    <w:rsid w:val="00B54B16"/>
    <w:rsid w:val="00B60344"/>
    <w:rsid w:val="00B632DF"/>
    <w:rsid w:val="00B7229D"/>
    <w:rsid w:val="00B80193"/>
    <w:rsid w:val="00BB425C"/>
    <w:rsid w:val="00BE10C4"/>
    <w:rsid w:val="00BF5954"/>
    <w:rsid w:val="00BF69C5"/>
    <w:rsid w:val="00C0123E"/>
    <w:rsid w:val="00C05F79"/>
    <w:rsid w:val="00C767CD"/>
    <w:rsid w:val="00C777C6"/>
    <w:rsid w:val="00C8216B"/>
    <w:rsid w:val="00CB5782"/>
    <w:rsid w:val="00CE68AE"/>
    <w:rsid w:val="00D01BCE"/>
    <w:rsid w:val="00D04335"/>
    <w:rsid w:val="00D308D2"/>
    <w:rsid w:val="00D33813"/>
    <w:rsid w:val="00D35A6E"/>
    <w:rsid w:val="00D44C75"/>
    <w:rsid w:val="00D735F3"/>
    <w:rsid w:val="00D86AFF"/>
    <w:rsid w:val="00D91B8D"/>
    <w:rsid w:val="00DA08CD"/>
    <w:rsid w:val="00DB050B"/>
    <w:rsid w:val="00DB344F"/>
    <w:rsid w:val="00DB5849"/>
    <w:rsid w:val="00DE06D1"/>
    <w:rsid w:val="00E0729D"/>
    <w:rsid w:val="00E42AFB"/>
    <w:rsid w:val="00E4309B"/>
    <w:rsid w:val="00E43655"/>
    <w:rsid w:val="00E6216C"/>
    <w:rsid w:val="00E72B44"/>
    <w:rsid w:val="00E82E9D"/>
    <w:rsid w:val="00E90F2E"/>
    <w:rsid w:val="00EA1C23"/>
    <w:rsid w:val="00EC69D0"/>
    <w:rsid w:val="00EE4B28"/>
    <w:rsid w:val="00EE586B"/>
    <w:rsid w:val="00F12770"/>
    <w:rsid w:val="00F15CFA"/>
    <w:rsid w:val="00F2425E"/>
    <w:rsid w:val="00F42977"/>
    <w:rsid w:val="00F743B3"/>
    <w:rsid w:val="00FC500F"/>
    <w:rsid w:val="00FC676D"/>
    <w:rsid w:val="00FE0A68"/>
    <w:rsid w:val="00FF65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A89D"/>
  <w15:chartTrackingRefBased/>
  <w15:docId w15:val="{5D915E89-261D-48F9-967A-AEE95D4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F50"/>
    <w:pPr>
      <w:spacing w:after="0" w:line="240" w:lineRule="auto"/>
    </w:pPr>
  </w:style>
  <w:style w:type="paragraph" w:styleId="ListParagraph">
    <w:name w:val="List Paragraph"/>
    <w:basedOn w:val="Normal"/>
    <w:uiPriority w:val="34"/>
    <w:qFormat/>
    <w:rsid w:val="005D25D1"/>
    <w:pPr>
      <w:ind w:left="720"/>
      <w:contextualSpacing/>
    </w:pPr>
  </w:style>
  <w:style w:type="paragraph" w:styleId="Header">
    <w:name w:val="header"/>
    <w:basedOn w:val="Normal"/>
    <w:link w:val="HeaderChar"/>
    <w:uiPriority w:val="99"/>
    <w:unhideWhenUsed/>
    <w:rsid w:val="002356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5660"/>
  </w:style>
  <w:style w:type="paragraph" w:styleId="Footer">
    <w:name w:val="footer"/>
    <w:basedOn w:val="Normal"/>
    <w:link w:val="FooterChar"/>
    <w:uiPriority w:val="99"/>
    <w:unhideWhenUsed/>
    <w:rsid w:val="002356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5660"/>
  </w:style>
  <w:style w:type="character" w:styleId="Hyperlink">
    <w:name w:val="Hyperlink"/>
    <w:basedOn w:val="DefaultParagraphFont"/>
    <w:uiPriority w:val="99"/>
    <w:unhideWhenUsed/>
    <w:rsid w:val="004106CD"/>
    <w:rPr>
      <w:color w:val="0563C1" w:themeColor="hyperlink"/>
      <w:u w:val="single"/>
    </w:rPr>
  </w:style>
  <w:style w:type="character" w:customStyle="1" w:styleId="UnresolvedMention1">
    <w:name w:val="Unresolved Mention1"/>
    <w:basedOn w:val="DefaultParagraphFont"/>
    <w:uiPriority w:val="99"/>
    <w:semiHidden/>
    <w:unhideWhenUsed/>
    <w:rsid w:val="004106CD"/>
    <w:rPr>
      <w:color w:val="605E5C"/>
      <w:shd w:val="clear" w:color="auto" w:fill="E1DFDD"/>
    </w:rPr>
  </w:style>
  <w:style w:type="character" w:styleId="CommentReference">
    <w:name w:val="annotation reference"/>
    <w:basedOn w:val="DefaultParagraphFont"/>
    <w:uiPriority w:val="99"/>
    <w:semiHidden/>
    <w:unhideWhenUsed/>
    <w:rsid w:val="00926145"/>
    <w:rPr>
      <w:sz w:val="16"/>
      <w:szCs w:val="16"/>
    </w:rPr>
  </w:style>
  <w:style w:type="paragraph" w:styleId="CommentText">
    <w:name w:val="annotation text"/>
    <w:basedOn w:val="Normal"/>
    <w:link w:val="CommentTextChar"/>
    <w:uiPriority w:val="99"/>
    <w:semiHidden/>
    <w:unhideWhenUsed/>
    <w:rsid w:val="00926145"/>
    <w:pPr>
      <w:spacing w:line="240" w:lineRule="auto"/>
    </w:pPr>
    <w:rPr>
      <w:sz w:val="20"/>
      <w:szCs w:val="20"/>
    </w:rPr>
  </w:style>
  <w:style w:type="character" w:customStyle="1" w:styleId="CommentTextChar">
    <w:name w:val="Comment Text Char"/>
    <w:basedOn w:val="DefaultParagraphFont"/>
    <w:link w:val="CommentText"/>
    <w:uiPriority w:val="99"/>
    <w:semiHidden/>
    <w:rsid w:val="00926145"/>
    <w:rPr>
      <w:sz w:val="20"/>
      <w:szCs w:val="20"/>
    </w:rPr>
  </w:style>
  <w:style w:type="paragraph" w:styleId="CommentSubject">
    <w:name w:val="annotation subject"/>
    <w:basedOn w:val="CommentText"/>
    <w:next w:val="CommentText"/>
    <w:link w:val="CommentSubjectChar"/>
    <w:uiPriority w:val="99"/>
    <w:semiHidden/>
    <w:unhideWhenUsed/>
    <w:rsid w:val="00926145"/>
    <w:rPr>
      <w:b/>
      <w:bCs/>
    </w:rPr>
  </w:style>
  <w:style w:type="character" w:customStyle="1" w:styleId="CommentSubjectChar">
    <w:name w:val="Comment Subject Char"/>
    <w:basedOn w:val="CommentTextChar"/>
    <w:link w:val="CommentSubject"/>
    <w:uiPriority w:val="99"/>
    <w:semiHidden/>
    <w:rsid w:val="00926145"/>
    <w:rPr>
      <w:b/>
      <w:bCs/>
      <w:sz w:val="20"/>
      <w:szCs w:val="20"/>
    </w:rPr>
  </w:style>
  <w:style w:type="paragraph" w:styleId="BalloonText">
    <w:name w:val="Balloon Text"/>
    <w:basedOn w:val="Normal"/>
    <w:link w:val="BalloonTextChar"/>
    <w:uiPriority w:val="99"/>
    <w:semiHidden/>
    <w:unhideWhenUsed/>
    <w:rsid w:val="00926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45"/>
    <w:rPr>
      <w:rFonts w:ascii="Segoe UI" w:hAnsi="Segoe UI" w:cs="Segoe UI"/>
      <w:sz w:val="18"/>
      <w:szCs w:val="18"/>
    </w:rPr>
  </w:style>
  <w:style w:type="paragraph" w:styleId="FootnoteText">
    <w:name w:val="footnote text"/>
    <w:basedOn w:val="Normal"/>
    <w:link w:val="FootnoteTextChar"/>
    <w:uiPriority w:val="99"/>
    <w:semiHidden/>
    <w:unhideWhenUsed/>
    <w:rsid w:val="00E72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B44"/>
    <w:rPr>
      <w:sz w:val="20"/>
      <w:szCs w:val="20"/>
    </w:rPr>
  </w:style>
  <w:style w:type="character" w:styleId="FootnoteReference">
    <w:name w:val="footnote reference"/>
    <w:basedOn w:val="DefaultParagraphFont"/>
    <w:uiPriority w:val="99"/>
    <w:semiHidden/>
    <w:unhideWhenUsed/>
    <w:rsid w:val="00E72B44"/>
    <w:rPr>
      <w:vertAlign w:val="superscript"/>
    </w:rPr>
  </w:style>
  <w:style w:type="character" w:styleId="FollowedHyperlink">
    <w:name w:val="FollowedHyperlink"/>
    <w:basedOn w:val="DefaultParagraphFont"/>
    <w:uiPriority w:val="99"/>
    <w:semiHidden/>
    <w:unhideWhenUsed/>
    <w:rsid w:val="00A34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isplacement.iom.int/dtm-partners-toolkit/sectoral-questions-location-assessment" TargetMode="External"/><Relationship Id="rId2" Type="http://schemas.openxmlformats.org/officeDocument/2006/relationships/hyperlink" Target="https://displacement.iom.int/dtm-partners-toolkit/field-companion-pdf" TargetMode="External"/><Relationship Id="rId1" Type="http://schemas.openxmlformats.org/officeDocument/2006/relationships/hyperlink" Target="https://displacement.iom.int/dtm-partners-toolkit/field-companion-excel" TargetMode="External"/><Relationship Id="rId5" Type="http://schemas.openxmlformats.org/officeDocument/2006/relationships/hyperlink" Target="https://gbvguidelines.org/wp/wp-content/uploads/2016/03/2015-IASC-Directrices-VBG_version-francaise.pdf" TargetMode="External"/><Relationship Id="rId4" Type="http://schemas.openxmlformats.org/officeDocument/2006/relationships/hyperlink" Target="https://displacement.iom.int/dtm-partners-toolkit/gb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0E59-149F-4125-8BFF-88B8B304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2271</Words>
  <Characters>12948</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van Herk</dc:creator>
  <cp:keywords/>
  <dc:description/>
  <cp:lastModifiedBy>Daunia Pavone</cp:lastModifiedBy>
  <cp:revision>3</cp:revision>
  <dcterms:created xsi:type="dcterms:W3CDTF">2022-01-20T11:34:00Z</dcterms:created>
  <dcterms:modified xsi:type="dcterms:W3CDTF">2022-01-20T11:35:00Z</dcterms:modified>
</cp:coreProperties>
</file>