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B785D" w14:textId="475730D8" w:rsidR="00EE0F54" w:rsidRPr="002B734D" w:rsidRDefault="00EE0F54" w:rsidP="002B734D">
      <w:pPr>
        <w:pStyle w:val="Heading1"/>
        <w:rPr>
          <w:b/>
          <w:bCs/>
          <w:lang w:val="fr-FR"/>
        </w:rPr>
      </w:pPr>
      <w:r w:rsidRPr="002B734D">
        <w:rPr>
          <w:b/>
          <w:bCs/>
          <w:lang w:val="fr-FR"/>
        </w:rPr>
        <w:t>Approche</w:t>
      </w:r>
      <w:r w:rsidR="002B734D" w:rsidRPr="002B734D">
        <w:rPr>
          <w:b/>
          <w:bCs/>
          <w:lang w:val="fr-FR"/>
        </w:rPr>
        <w:t xml:space="preserve"> </w:t>
      </w:r>
      <w:r w:rsidR="002B734D" w:rsidRPr="002B734D">
        <w:rPr>
          <w:rFonts w:cstheme="minorHAnsi"/>
          <w:b/>
          <w:bCs/>
          <w:lang w:val="fr-FR"/>
        </w:rPr>
        <w:t>à</w:t>
      </w:r>
      <w:r w:rsidR="002B734D" w:rsidRPr="002B734D">
        <w:rPr>
          <w:b/>
          <w:bCs/>
          <w:lang w:val="fr-FR"/>
        </w:rPr>
        <w:t xml:space="preserve"> la coopération DTM et Partenaires </w:t>
      </w:r>
    </w:p>
    <w:p w14:paraId="25F550D8" w14:textId="77777777" w:rsidR="00EE0F54" w:rsidRPr="00EE0F54" w:rsidRDefault="00EE0F54" w:rsidP="002B734D">
      <w:pPr>
        <w:pStyle w:val="Heading2"/>
        <w:rPr>
          <w:lang w:val="fr-FR"/>
        </w:rPr>
      </w:pPr>
      <w:r w:rsidRPr="00EE0F54">
        <w:rPr>
          <w:lang w:val="fr-FR"/>
        </w:rPr>
        <w:t>Pourquoi travailler ensemble?</w:t>
      </w:r>
    </w:p>
    <w:p w14:paraId="4F2B25C4" w14:textId="77777777" w:rsidR="00EE0F54" w:rsidRPr="00EE0F54" w:rsidRDefault="00EE0F54" w:rsidP="002B734D">
      <w:pPr>
        <w:numPr>
          <w:ilvl w:val="0"/>
          <w:numId w:val="2"/>
        </w:numPr>
        <w:spacing w:after="120" w:line="240" w:lineRule="auto"/>
        <w:rPr>
          <w:lang w:val="fr-FR"/>
        </w:rPr>
      </w:pPr>
      <w:r w:rsidRPr="00EE0F54">
        <w:rPr>
          <w:lang w:val="fr-FR"/>
        </w:rPr>
        <w:t xml:space="preserve">Les données DTM ont pour but </w:t>
      </w:r>
      <w:r w:rsidRPr="00EE0F54">
        <w:rPr>
          <w:b/>
          <w:bCs/>
          <w:lang w:val="fr-FR"/>
        </w:rPr>
        <w:t>d’informer les réponses humanitaires</w:t>
      </w:r>
    </w:p>
    <w:p w14:paraId="4554ABFE" w14:textId="77777777" w:rsidR="00EE0F54" w:rsidRPr="00EE0F54" w:rsidRDefault="00EE0F54" w:rsidP="002B734D">
      <w:pPr>
        <w:numPr>
          <w:ilvl w:val="0"/>
          <w:numId w:val="2"/>
        </w:numPr>
        <w:spacing w:after="120" w:line="240" w:lineRule="auto"/>
        <w:rPr>
          <w:lang w:val="fr-FR"/>
        </w:rPr>
      </w:pPr>
      <w:r w:rsidRPr="00EE0F54">
        <w:rPr>
          <w:lang w:val="fr-FR"/>
        </w:rPr>
        <w:t xml:space="preserve">Les données DTM sur l’évaluation des lieux (Location Assessments) sont </w:t>
      </w:r>
      <w:r w:rsidRPr="00EE0F54">
        <w:rPr>
          <w:b/>
          <w:bCs/>
          <w:lang w:val="fr-FR"/>
        </w:rPr>
        <w:t>partagées avec tous les acteurs humanitaires</w:t>
      </w:r>
    </w:p>
    <w:p w14:paraId="5C56F64E" w14:textId="77777777" w:rsidR="00EE0F54" w:rsidRPr="00EE0F54" w:rsidRDefault="00EE0F54" w:rsidP="002B734D">
      <w:pPr>
        <w:numPr>
          <w:ilvl w:val="0"/>
          <w:numId w:val="2"/>
        </w:numPr>
        <w:spacing w:after="120" w:line="240" w:lineRule="auto"/>
        <w:rPr>
          <w:lang w:val="fr-FR"/>
        </w:rPr>
      </w:pPr>
      <w:r w:rsidRPr="00EE0F54">
        <w:rPr>
          <w:lang w:val="fr-FR"/>
        </w:rPr>
        <w:t xml:space="preserve">En travaillant ensemble, vous pouvez rendre les données DTM </w:t>
      </w:r>
      <w:r w:rsidRPr="00EE0F54">
        <w:rPr>
          <w:b/>
          <w:bCs/>
          <w:lang w:val="fr-FR"/>
        </w:rPr>
        <w:t>encore plus utiles</w:t>
      </w:r>
    </w:p>
    <w:p w14:paraId="0F33EFAC" w14:textId="75E69DB0" w:rsidR="00EE0F54" w:rsidRPr="00EE0F54" w:rsidRDefault="00EE0F54" w:rsidP="002B734D">
      <w:pPr>
        <w:spacing w:after="120" w:line="240" w:lineRule="auto"/>
        <w:rPr>
          <w:lang w:val="fr-FR"/>
        </w:rPr>
      </w:pPr>
      <w:r w:rsidRPr="00EE0F54">
        <w:rPr>
          <w:lang w:val="fr-FR"/>
        </w:rPr>
        <w:t>Une analyse</w:t>
      </w:r>
      <w:r w:rsidR="002B734D">
        <w:rPr>
          <w:vertAlign w:val="superscript"/>
          <w:lang w:val="fr-FR"/>
        </w:rPr>
        <w:t xml:space="preserve"> </w:t>
      </w:r>
      <w:r w:rsidRPr="00EE0F54">
        <w:rPr>
          <w:lang w:val="fr-FR"/>
        </w:rPr>
        <w:t xml:space="preserve">sur les raisons principales de l’utilisation partielle des données DTM souligne le besoin des </w:t>
      </w:r>
      <w:r w:rsidR="002B734D" w:rsidRPr="00EE0F54">
        <w:rPr>
          <w:lang w:val="fr-FR"/>
        </w:rPr>
        <w:t>partenaires</w:t>
      </w:r>
      <w:r w:rsidRPr="00EE0F54">
        <w:rPr>
          <w:lang w:val="fr-FR"/>
        </w:rPr>
        <w:t xml:space="preserve"> de DTM à collaborer ensemble afin de parvenir à des données et des analyses qui pourront être utiles à soutenir les projets dans le secteur humanitaire. </w:t>
      </w:r>
    </w:p>
    <w:p w14:paraId="567E4B16" w14:textId="77777777" w:rsidR="00EE0F54" w:rsidRPr="00EE0F54" w:rsidRDefault="00EE0F54" w:rsidP="002B734D">
      <w:pPr>
        <w:spacing w:after="120" w:line="240" w:lineRule="auto"/>
        <w:rPr>
          <w:lang w:val="fr-FR"/>
        </w:rPr>
      </w:pPr>
      <w:r w:rsidRPr="00EE0F54">
        <w:rPr>
          <w:lang w:val="fr-FR"/>
        </w:rPr>
        <w:t xml:space="preserve">Les modalités de cet engagement vise à ce que les rôles et les tâches doivent être agrées conjointement et prévisibles, pour que la DTM et ses Partenaires puissent avoir un aperçu et une idée du format et contexte de leur coopération,  et qui soit systématiquement appliqués sur le terrain. </w:t>
      </w:r>
    </w:p>
    <w:p w14:paraId="46136E46" w14:textId="77777777" w:rsidR="00EE0F54" w:rsidRPr="00EE0F54" w:rsidRDefault="00EE0F54" w:rsidP="002B734D">
      <w:pPr>
        <w:pStyle w:val="Heading2"/>
      </w:pPr>
      <w:r w:rsidRPr="00EE0F54">
        <w:rPr>
          <w:lang w:val="fr-FR"/>
        </w:rPr>
        <w:t>Comment collaborer?</w:t>
      </w:r>
    </w:p>
    <w:p w14:paraId="727A40C1" w14:textId="77777777" w:rsidR="00EE0F54" w:rsidRPr="00EE0F54" w:rsidRDefault="00EE0F54" w:rsidP="002B734D">
      <w:pPr>
        <w:numPr>
          <w:ilvl w:val="0"/>
          <w:numId w:val="3"/>
        </w:numPr>
        <w:spacing w:after="120" w:line="240" w:lineRule="auto"/>
        <w:rPr>
          <w:lang w:val="fr-FR"/>
        </w:rPr>
      </w:pPr>
      <w:r w:rsidRPr="00EE0F54">
        <w:rPr>
          <w:lang w:val="fr-FR"/>
        </w:rPr>
        <w:t xml:space="preserve">Nous utilisons une approche qui est </w:t>
      </w:r>
      <w:r w:rsidRPr="00EE0F54">
        <w:rPr>
          <w:b/>
          <w:bCs/>
          <w:lang w:val="fr-FR"/>
        </w:rPr>
        <w:t>prévoyante et cohérente</w:t>
      </w:r>
      <w:r w:rsidRPr="00EE0F54">
        <w:rPr>
          <w:lang w:val="fr-FR"/>
        </w:rPr>
        <w:t xml:space="preserve">: la DTM et ses Partenaires utilisent et, il est attendu à ce qu’ils utilisent, cette même approche dans leurs plans d’actions. </w:t>
      </w:r>
    </w:p>
    <w:p w14:paraId="57131756" w14:textId="77777777" w:rsidR="00EE0F54" w:rsidRPr="00EE0F54" w:rsidRDefault="00EE0F54" w:rsidP="002B734D">
      <w:pPr>
        <w:numPr>
          <w:ilvl w:val="0"/>
          <w:numId w:val="3"/>
        </w:numPr>
        <w:spacing w:after="120" w:line="240" w:lineRule="auto"/>
        <w:rPr>
          <w:lang w:val="fr-FR"/>
        </w:rPr>
      </w:pPr>
      <w:r w:rsidRPr="00EE0F54">
        <w:rPr>
          <w:lang w:val="fr-FR"/>
        </w:rPr>
        <w:t xml:space="preserve">Cette  approche suggérée est fondée sur les </w:t>
      </w:r>
      <w:r w:rsidRPr="00EE0F54">
        <w:rPr>
          <w:b/>
          <w:bCs/>
          <w:lang w:val="fr-FR"/>
        </w:rPr>
        <w:t xml:space="preserve">meilleures pratiques </w:t>
      </w:r>
      <w:r w:rsidRPr="00EE0F54">
        <w:rPr>
          <w:lang w:val="fr-FR"/>
        </w:rPr>
        <w:t xml:space="preserve">et sur un </w:t>
      </w:r>
      <w:r w:rsidRPr="00EE0F54">
        <w:rPr>
          <w:b/>
          <w:bCs/>
          <w:lang w:val="fr-FR"/>
        </w:rPr>
        <w:t>accord partagé.</w:t>
      </w:r>
    </w:p>
    <w:p w14:paraId="12731563" w14:textId="77777777" w:rsidR="00EE0F54" w:rsidRPr="00EE0F54" w:rsidRDefault="00EE0F54" w:rsidP="002B734D">
      <w:pPr>
        <w:numPr>
          <w:ilvl w:val="0"/>
          <w:numId w:val="3"/>
        </w:numPr>
        <w:spacing w:after="120" w:line="240" w:lineRule="auto"/>
        <w:rPr>
          <w:lang w:val="fr-FR"/>
        </w:rPr>
      </w:pPr>
      <w:r w:rsidRPr="00EE0F54">
        <w:rPr>
          <w:lang w:val="fr-FR"/>
        </w:rPr>
        <w:t>L’accord sur cette approche a été atteinte en partant des principes sur le  « </w:t>
      </w:r>
      <w:r w:rsidRPr="00EE0F54">
        <w:rPr>
          <w:b/>
          <w:bCs/>
          <w:lang w:val="fr-FR"/>
        </w:rPr>
        <w:t>Grand Bargain Needs Assessment »</w:t>
      </w:r>
      <w:r w:rsidRPr="00EE0F54">
        <w:rPr>
          <w:lang w:val="fr-FR"/>
        </w:rPr>
        <w:t xml:space="preserve"> et par une coopération à l’échelle mondial entre la </w:t>
      </w:r>
      <w:r w:rsidRPr="00EE0F54">
        <w:rPr>
          <w:b/>
          <w:bCs/>
          <w:lang w:val="fr-FR"/>
        </w:rPr>
        <w:t>DTM</w:t>
      </w:r>
      <w:r w:rsidRPr="00EE0F54">
        <w:rPr>
          <w:lang w:val="fr-FR"/>
        </w:rPr>
        <w:t xml:space="preserve"> et la plupart des</w:t>
      </w:r>
      <w:r w:rsidRPr="00EE0F54">
        <w:rPr>
          <w:b/>
          <w:bCs/>
          <w:lang w:val="fr-FR"/>
        </w:rPr>
        <w:t xml:space="preserve"> Clusters Mondiaux, WG, AoRs.</w:t>
      </w:r>
    </w:p>
    <w:p w14:paraId="333ED2C1" w14:textId="77777777" w:rsidR="00EE0F54" w:rsidRPr="00EE0F54" w:rsidRDefault="00EE0F54" w:rsidP="002B734D">
      <w:pPr>
        <w:pStyle w:val="Heading2"/>
        <w:rPr>
          <w:lang w:val="fr-FR"/>
        </w:rPr>
      </w:pPr>
      <w:r w:rsidRPr="00EE0F54">
        <w:rPr>
          <w:lang w:val="fr-FR"/>
        </w:rPr>
        <w:t>La mise en place de l’approche</w:t>
      </w:r>
    </w:p>
    <w:p w14:paraId="0C2815CD" w14:textId="77777777" w:rsidR="00EE0F54" w:rsidRPr="00EE0F54" w:rsidRDefault="00EE0F54" w:rsidP="002B734D">
      <w:pPr>
        <w:spacing w:after="120" w:line="240" w:lineRule="auto"/>
      </w:pPr>
      <w:r w:rsidRPr="00EE0F54">
        <w:rPr>
          <w:lang w:val="fr-FR"/>
        </w:rPr>
        <w:t xml:space="preserve">L’approche et les outils décrits ci-contre sont fondés sur les meilleures pratiques du secteur humanitaire et se sont développés en consultant avec la DTM, Clusters /AoR/WGs et autres partenaires. Elle a aussi été adaptée vis-à-vis le travail fait par the Working Group sur l’Utilitée et l’ usage de données et d’analyses (EDAUUR) sous l’ombrelle du « Grand Bargain work stream » sur les évaluations de besoins. L’ équipe de la EDAUUR est composée de: </w:t>
      </w:r>
    </w:p>
    <w:p w14:paraId="19199F7E" w14:textId="35BFA59E" w:rsidR="00EE0F54" w:rsidRPr="00EE0F54" w:rsidRDefault="00EE0F54" w:rsidP="002B734D">
      <w:pPr>
        <w:numPr>
          <w:ilvl w:val="0"/>
          <w:numId w:val="4"/>
        </w:numPr>
        <w:spacing w:after="0" w:line="240" w:lineRule="auto"/>
        <w:ind w:left="714" w:hanging="357"/>
      </w:pPr>
      <w:r w:rsidRPr="00EE0F54">
        <w:rPr>
          <w:i/>
          <w:iCs/>
        </w:rPr>
        <w:t xml:space="preserve">Clusters </w:t>
      </w:r>
      <w:r>
        <w:rPr>
          <w:i/>
          <w:iCs/>
        </w:rPr>
        <w:t>Globals</w:t>
      </w:r>
      <w:r w:rsidRPr="00EE0F54">
        <w:rPr>
          <w:i/>
          <w:iCs/>
        </w:rPr>
        <w:t xml:space="preserve"> et AoRs ( </w:t>
      </w:r>
      <w:r>
        <w:rPr>
          <w:i/>
          <w:iCs/>
        </w:rPr>
        <w:t>Global</w:t>
      </w:r>
      <w:r w:rsidRPr="00EE0F54">
        <w:rPr>
          <w:i/>
          <w:iCs/>
        </w:rPr>
        <w:t xml:space="preserve"> CCCM</w:t>
      </w:r>
      <w:r>
        <w:rPr>
          <w:i/>
          <w:iCs/>
        </w:rPr>
        <w:t xml:space="preserve"> Cluster</w:t>
      </w:r>
      <w:r w:rsidRPr="00EE0F54">
        <w:rPr>
          <w:i/>
          <w:iCs/>
        </w:rPr>
        <w:t>, Global Child Protection AoR, Global Education Cluster, Global Food Security Cluster, Global GBV AoR, Global Health Cluster, Global Protection Cluster, Global Shelter Cluster, Global UNICEF Cluster Coordination Team, Global WASH Cluster inclus)</w:t>
      </w:r>
    </w:p>
    <w:p w14:paraId="07086D3C" w14:textId="77777777" w:rsidR="00EE0F54" w:rsidRPr="00EE0F54" w:rsidRDefault="00EE0F54" w:rsidP="002B734D">
      <w:pPr>
        <w:numPr>
          <w:ilvl w:val="0"/>
          <w:numId w:val="5"/>
        </w:numPr>
        <w:spacing w:after="0" w:line="240" w:lineRule="auto"/>
        <w:ind w:left="714" w:hanging="357"/>
        <w:rPr>
          <w:lang w:val="fr-FR"/>
        </w:rPr>
      </w:pPr>
      <w:r w:rsidRPr="00EE0F54">
        <w:rPr>
          <w:i/>
          <w:iCs/>
          <w:lang w:val="fr-FR"/>
        </w:rPr>
        <w:t>UN Offices et Agences (UNHCR FICS, WFP VAM, OCHA FIS, OCHA NAAS)</w:t>
      </w:r>
    </w:p>
    <w:p w14:paraId="69533CB5" w14:textId="77777777" w:rsidR="00EE0F54" w:rsidRPr="00EE0F54" w:rsidRDefault="00EE0F54" w:rsidP="002B734D">
      <w:pPr>
        <w:numPr>
          <w:ilvl w:val="0"/>
          <w:numId w:val="5"/>
        </w:numPr>
        <w:spacing w:after="0" w:line="240" w:lineRule="auto"/>
        <w:ind w:left="714" w:hanging="357"/>
      </w:pPr>
      <w:r w:rsidRPr="00EE0F54">
        <w:rPr>
          <w:i/>
          <w:iCs/>
          <w:lang w:val="fr-FR"/>
        </w:rPr>
        <w:t>Donateurs (DIFD, ECHO, OFDA inclus)</w:t>
      </w:r>
    </w:p>
    <w:p w14:paraId="394CE883" w14:textId="77777777" w:rsidR="00EE0F54" w:rsidRPr="00EE0F54" w:rsidRDefault="00EE0F54" w:rsidP="002B734D">
      <w:pPr>
        <w:numPr>
          <w:ilvl w:val="0"/>
          <w:numId w:val="5"/>
        </w:numPr>
        <w:spacing w:after="0" w:line="240" w:lineRule="auto"/>
        <w:ind w:left="714" w:hanging="357"/>
      </w:pPr>
      <w:r w:rsidRPr="00EE0F54">
        <w:rPr>
          <w:i/>
          <w:iCs/>
        </w:rPr>
        <w:t xml:space="preserve">ONGs (inclus. MapAction, REACH - Impact, DRC, Geneva Centre for Humanitarian Demining, Terre Des Hommes Lausanne) et </w:t>
      </w:r>
    </w:p>
    <w:p w14:paraId="5680ADA0" w14:textId="77777777" w:rsidR="00EE0F54" w:rsidRPr="00EE0F54" w:rsidRDefault="00EE0F54" w:rsidP="002B734D">
      <w:pPr>
        <w:numPr>
          <w:ilvl w:val="0"/>
          <w:numId w:val="5"/>
        </w:numPr>
        <w:spacing w:after="0" w:line="240" w:lineRule="auto"/>
        <w:ind w:left="714" w:hanging="357"/>
        <w:rPr>
          <w:lang w:val="fr-FR"/>
        </w:rPr>
      </w:pPr>
      <w:r w:rsidRPr="00EE0F54">
        <w:rPr>
          <w:i/>
          <w:iCs/>
          <w:lang w:val="fr-FR"/>
        </w:rPr>
        <w:t>Autres organisations et initiatives, ACAPS, JIPS, PIM, ICRC inclus.</w:t>
      </w:r>
    </w:p>
    <w:p w14:paraId="02589D4B" w14:textId="77777777" w:rsidR="002B734D" w:rsidRDefault="002B734D">
      <w:pPr>
        <w:rPr>
          <w:rFonts w:asciiTheme="majorHAnsi" w:eastAsiaTheme="majorEastAsia" w:hAnsiTheme="majorHAnsi" w:cstheme="majorBidi"/>
          <w:color w:val="2F5496" w:themeColor="accent1" w:themeShade="BF"/>
          <w:sz w:val="26"/>
          <w:szCs w:val="26"/>
          <w:lang w:val="fr-FR"/>
        </w:rPr>
      </w:pPr>
      <w:r>
        <w:rPr>
          <w:lang w:val="fr-FR"/>
        </w:rPr>
        <w:br w:type="page"/>
      </w:r>
    </w:p>
    <w:p w14:paraId="3E7BB0C9" w14:textId="2B73538A" w:rsidR="002B734D" w:rsidRPr="002B734D" w:rsidRDefault="002B734D" w:rsidP="002B734D">
      <w:pPr>
        <w:pStyle w:val="Heading2"/>
        <w:spacing w:before="240"/>
        <w:rPr>
          <w:lang w:val="fr-FR"/>
        </w:rPr>
      </w:pPr>
      <w:r w:rsidRPr="002B734D">
        <w:rPr>
          <w:lang w:val="fr-FR"/>
        </w:rPr>
        <w:lastRenderedPageBreak/>
        <w:t>Quels sont les principes de cette approche?</w:t>
      </w:r>
    </w:p>
    <w:p w14:paraId="2A39E497" w14:textId="23C57131" w:rsidR="002B734D" w:rsidRPr="002B734D" w:rsidRDefault="002B734D" w:rsidP="002B734D">
      <w:pPr>
        <w:numPr>
          <w:ilvl w:val="0"/>
          <w:numId w:val="6"/>
        </w:numPr>
        <w:spacing w:after="120" w:line="240" w:lineRule="auto"/>
        <w:rPr>
          <w:lang w:val="fr-FR"/>
        </w:rPr>
      </w:pPr>
      <w:r w:rsidRPr="002B734D">
        <w:rPr>
          <w:lang w:val="fr-FR"/>
        </w:rPr>
        <w:t xml:space="preserve">Les étapes principales sur le processus d’évaluation </w:t>
      </w:r>
      <w:r w:rsidRPr="002B734D">
        <w:rPr>
          <w:b/>
          <w:bCs/>
          <w:lang w:val="fr-FR"/>
        </w:rPr>
        <w:t xml:space="preserve">sont communs à la majorité des organisations humanitaires </w:t>
      </w:r>
      <w:r w:rsidRPr="002B734D">
        <w:rPr>
          <w:lang w:val="fr-FR"/>
        </w:rPr>
        <w:t>et leurs groupes/clusters.</w:t>
      </w:r>
    </w:p>
    <w:p w14:paraId="0A0338F8" w14:textId="77777777" w:rsidR="002B734D" w:rsidRPr="002B734D" w:rsidRDefault="002B734D" w:rsidP="002B734D">
      <w:pPr>
        <w:numPr>
          <w:ilvl w:val="0"/>
          <w:numId w:val="6"/>
        </w:numPr>
        <w:spacing w:after="120" w:line="240" w:lineRule="auto"/>
        <w:rPr>
          <w:lang w:val="fr-FR"/>
        </w:rPr>
      </w:pPr>
      <w:r w:rsidRPr="002B734D">
        <w:rPr>
          <w:lang w:val="fr-FR"/>
        </w:rPr>
        <w:t xml:space="preserve">La coopération est particulièrement nécessaire durant ces </w:t>
      </w:r>
      <w:r w:rsidRPr="002B734D">
        <w:rPr>
          <w:b/>
          <w:bCs/>
          <w:lang w:val="fr-FR"/>
        </w:rPr>
        <w:t>étapes spécifiques du Processus d’Evaluation</w:t>
      </w:r>
      <w:r w:rsidRPr="002B734D">
        <w:rPr>
          <w:lang w:val="fr-FR"/>
        </w:rPr>
        <w:t>.</w:t>
      </w:r>
    </w:p>
    <w:p w14:paraId="38AD39D7" w14:textId="77777777" w:rsidR="002B734D" w:rsidRPr="002B734D" w:rsidRDefault="002B734D" w:rsidP="002B734D">
      <w:pPr>
        <w:numPr>
          <w:ilvl w:val="0"/>
          <w:numId w:val="6"/>
        </w:numPr>
        <w:spacing w:after="120" w:line="240" w:lineRule="auto"/>
        <w:rPr>
          <w:lang w:val="fr-FR"/>
        </w:rPr>
      </w:pPr>
      <w:r w:rsidRPr="002B734D">
        <w:rPr>
          <w:lang w:val="fr-FR"/>
        </w:rPr>
        <w:t>La coopération doit valoir le respect et mettre en pratique leurs compétences respectives et complémentaires dans leur travail:</w:t>
      </w:r>
    </w:p>
    <w:p w14:paraId="6890CC56" w14:textId="77777777" w:rsidR="002B734D" w:rsidRPr="002B734D" w:rsidRDefault="002B734D" w:rsidP="002B734D">
      <w:pPr>
        <w:numPr>
          <w:ilvl w:val="1"/>
          <w:numId w:val="6"/>
        </w:numPr>
        <w:spacing w:after="0" w:line="240" w:lineRule="auto"/>
        <w:ind w:left="1434" w:hanging="357"/>
      </w:pPr>
      <w:r w:rsidRPr="002B734D">
        <w:rPr>
          <w:i/>
          <w:iCs/>
          <w:lang w:val="fr-FR"/>
        </w:rPr>
        <w:t>Acteurs décisionnels</w:t>
      </w:r>
    </w:p>
    <w:p w14:paraId="15FBFA47" w14:textId="77777777" w:rsidR="002B734D" w:rsidRPr="002B734D" w:rsidRDefault="002B734D" w:rsidP="002B734D">
      <w:pPr>
        <w:numPr>
          <w:ilvl w:val="1"/>
          <w:numId w:val="6"/>
        </w:numPr>
        <w:spacing w:after="0" w:line="240" w:lineRule="auto"/>
        <w:ind w:left="1434" w:hanging="357"/>
      </w:pPr>
      <w:r w:rsidRPr="002B734D">
        <w:rPr>
          <w:i/>
          <w:iCs/>
          <w:lang w:val="fr-FR"/>
        </w:rPr>
        <w:t>Experts d’objets</w:t>
      </w:r>
    </w:p>
    <w:p w14:paraId="7EBD3302" w14:textId="77777777" w:rsidR="002B734D" w:rsidRPr="002B734D" w:rsidRDefault="002B734D" w:rsidP="002B734D">
      <w:pPr>
        <w:numPr>
          <w:ilvl w:val="1"/>
          <w:numId w:val="6"/>
        </w:numPr>
        <w:spacing w:after="0" w:line="240" w:lineRule="auto"/>
        <w:ind w:left="1434" w:hanging="357"/>
      </w:pPr>
      <w:r w:rsidRPr="002B734D">
        <w:rPr>
          <w:i/>
          <w:iCs/>
          <w:lang w:val="fr-FR"/>
        </w:rPr>
        <w:t>Contexte/ Experts culturel</w:t>
      </w:r>
    </w:p>
    <w:p w14:paraId="3B5ABCED" w14:textId="77777777" w:rsidR="002B734D" w:rsidRPr="002B734D" w:rsidRDefault="002B734D" w:rsidP="002B734D">
      <w:pPr>
        <w:numPr>
          <w:ilvl w:val="1"/>
          <w:numId w:val="6"/>
        </w:numPr>
        <w:spacing w:after="120" w:line="240" w:lineRule="auto"/>
        <w:ind w:left="1434" w:hanging="357"/>
      </w:pPr>
      <w:r w:rsidRPr="002B734D">
        <w:rPr>
          <w:i/>
          <w:iCs/>
          <w:lang w:val="fr-FR"/>
        </w:rPr>
        <w:t>Management d’informations/Experts de données</w:t>
      </w:r>
    </w:p>
    <w:p w14:paraId="230EAAD7" w14:textId="77777777" w:rsidR="002B734D" w:rsidRPr="002B734D" w:rsidRDefault="002B734D" w:rsidP="002B734D">
      <w:pPr>
        <w:numPr>
          <w:ilvl w:val="0"/>
          <w:numId w:val="6"/>
        </w:numPr>
        <w:spacing w:after="120" w:line="240" w:lineRule="auto"/>
        <w:rPr>
          <w:lang w:val="fr-FR"/>
        </w:rPr>
      </w:pPr>
      <w:r w:rsidRPr="002B734D">
        <w:rPr>
          <w:lang w:val="fr-FR"/>
        </w:rPr>
        <w:t>DTM et ses Partenaires sont engagés dans leurs domaines respectifs lors des étapes cruciales du processus d’Evaluation.</w:t>
      </w:r>
    </w:p>
    <w:p w14:paraId="2E822165" w14:textId="553AF850" w:rsidR="00DF2C8D" w:rsidRDefault="002B734D" w:rsidP="002B734D">
      <w:pPr>
        <w:spacing w:after="120" w:line="240" w:lineRule="auto"/>
        <w:jc w:val="center"/>
        <w:rPr>
          <w:lang w:val="fr-FR"/>
        </w:rPr>
      </w:pPr>
      <w:r w:rsidRPr="002B734D">
        <w:drawing>
          <wp:inline distT="0" distB="0" distL="0" distR="0" wp14:anchorId="3A792537" wp14:editId="393AE73A">
            <wp:extent cx="4929594" cy="3303080"/>
            <wp:effectExtent l="0" t="0" r="4445" b="0"/>
            <wp:docPr id="17" name="Picture 16">
              <a:extLst xmlns:a="http://schemas.openxmlformats.org/drawingml/2006/main">
                <a:ext uri="{FF2B5EF4-FFF2-40B4-BE49-F238E27FC236}">
                  <a16:creationId xmlns:a16="http://schemas.microsoft.com/office/drawing/2014/main" id="{7308BC97-AA17-438C-952C-48A9C1D40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7308BC97-AA17-438C-952C-48A9C1D404D2}"/>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941989" cy="3311385"/>
                    </a:xfrm>
                    <a:prstGeom prst="rect">
                      <a:avLst/>
                    </a:prstGeom>
                  </pic:spPr>
                </pic:pic>
              </a:graphicData>
            </a:graphic>
          </wp:inline>
        </w:drawing>
      </w:r>
    </w:p>
    <w:p w14:paraId="3B2A5594" w14:textId="77777777" w:rsidR="002B734D" w:rsidRPr="002B734D" w:rsidRDefault="002B734D" w:rsidP="002B734D">
      <w:pPr>
        <w:spacing w:after="120" w:line="240" w:lineRule="auto"/>
        <w:rPr>
          <w:i/>
          <w:iCs/>
          <w:lang w:val="fr-FR"/>
        </w:rPr>
      </w:pPr>
      <w:r w:rsidRPr="002B734D">
        <w:rPr>
          <w:i/>
          <w:iCs/>
          <w:lang w:val="fr-FR"/>
        </w:rPr>
        <w:t xml:space="preserve">Dans certains cas, le même acteur pourrait se prêter à plusieurs taches en accord avec ses diverses compétences. Les coordinateurs de Cluster et ses membres par exemple, ont souvent un pouvoir décisionnel (pour répondre stratégiquement et dans une capacité opérationnelle) en même temps qu’en étant Expert. Le personnel local peut aussi être Expert d’un objet particulier et en même temps, Expert culturel. </w:t>
      </w:r>
    </w:p>
    <w:p w14:paraId="52550A53" w14:textId="77777777" w:rsidR="002B734D" w:rsidRPr="00EE0F54" w:rsidRDefault="002B734D" w:rsidP="002B734D">
      <w:pPr>
        <w:spacing w:after="120" w:line="240" w:lineRule="auto"/>
        <w:jc w:val="center"/>
        <w:rPr>
          <w:lang w:val="fr-FR"/>
        </w:rPr>
      </w:pPr>
    </w:p>
    <w:sectPr w:rsidR="002B734D" w:rsidRPr="00EE0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81537"/>
    <w:multiLevelType w:val="hybridMultilevel"/>
    <w:tmpl w:val="26EEF938"/>
    <w:lvl w:ilvl="0" w:tplc="640CBDE6">
      <w:start w:val="1"/>
      <w:numFmt w:val="decimal"/>
      <w:lvlText w:val="%1."/>
      <w:lvlJc w:val="left"/>
      <w:pPr>
        <w:tabs>
          <w:tab w:val="num" w:pos="720"/>
        </w:tabs>
        <w:ind w:left="720" w:hanging="360"/>
      </w:pPr>
    </w:lvl>
    <w:lvl w:ilvl="1" w:tplc="BECE6EB4" w:tentative="1">
      <w:start w:val="1"/>
      <w:numFmt w:val="decimal"/>
      <w:lvlText w:val="%2."/>
      <w:lvlJc w:val="left"/>
      <w:pPr>
        <w:tabs>
          <w:tab w:val="num" w:pos="1440"/>
        </w:tabs>
        <w:ind w:left="1440" w:hanging="360"/>
      </w:pPr>
    </w:lvl>
    <w:lvl w:ilvl="2" w:tplc="7AA234A8" w:tentative="1">
      <w:start w:val="1"/>
      <w:numFmt w:val="decimal"/>
      <w:lvlText w:val="%3."/>
      <w:lvlJc w:val="left"/>
      <w:pPr>
        <w:tabs>
          <w:tab w:val="num" w:pos="2160"/>
        </w:tabs>
        <w:ind w:left="2160" w:hanging="360"/>
      </w:pPr>
    </w:lvl>
    <w:lvl w:ilvl="3" w:tplc="84BC8DA2" w:tentative="1">
      <w:start w:val="1"/>
      <w:numFmt w:val="decimal"/>
      <w:lvlText w:val="%4."/>
      <w:lvlJc w:val="left"/>
      <w:pPr>
        <w:tabs>
          <w:tab w:val="num" w:pos="2880"/>
        </w:tabs>
        <w:ind w:left="2880" w:hanging="360"/>
      </w:pPr>
    </w:lvl>
    <w:lvl w:ilvl="4" w:tplc="046024E6" w:tentative="1">
      <w:start w:val="1"/>
      <w:numFmt w:val="decimal"/>
      <w:lvlText w:val="%5."/>
      <w:lvlJc w:val="left"/>
      <w:pPr>
        <w:tabs>
          <w:tab w:val="num" w:pos="3600"/>
        </w:tabs>
        <w:ind w:left="3600" w:hanging="360"/>
      </w:pPr>
    </w:lvl>
    <w:lvl w:ilvl="5" w:tplc="E10285A0" w:tentative="1">
      <w:start w:val="1"/>
      <w:numFmt w:val="decimal"/>
      <w:lvlText w:val="%6."/>
      <w:lvlJc w:val="left"/>
      <w:pPr>
        <w:tabs>
          <w:tab w:val="num" w:pos="4320"/>
        </w:tabs>
        <w:ind w:left="4320" w:hanging="360"/>
      </w:pPr>
    </w:lvl>
    <w:lvl w:ilvl="6" w:tplc="E7E4C972" w:tentative="1">
      <w:start w:val="1"/>
      <w:numFmt w:val="decimal"/>
      <w:lvlText w:val="%7."/>
      <w:lvlJc w:val="left"/>
      <w:pPr>
        <w:tabs>
          <w:tab w:val="num" w:pos="5040"/>
        </w:tabs>
        <w:ind w:left="5040" w:hanging="360"/>
      </w:pPr>
    </w:lvl>
    <w:lvl w:ilvl="7" w:tplc="9C10A3D4" w:tentative="1">
      <w:start w:val="1"/>
      <w:numFmt w:val="decimal"/>
      <w:lvlText w:val="%8."/>
      <w:lvlJc w:val="left"/>
      <w:pPr>
        <w:tabs>
          <w:tab w:val="num" w:pos="5760"/>
        </w:tabs>
        <w:ind w:left="5760" w:hanging="360"/>
      </w:pPr>
    </w:lvl>
    <w:lvl w:ilvl="8" w:tplc="8BE8BD20" w:tentative="1">
      <w:start w:val="1"/>
      <w:numFmt w:val="decimal"/>
      <w:lvlText w:val="%9."/>
      <w:lvlJc w:val="left"/>
      <w:pPr>
        <w:tabs>
          <w:tab w:val="num" w:pos="6480"/>
        </w:tabs>
        <w:ind w:left="6480" w:hanging="360"/>
      </w:pPr>
    </w:lvl>
  </w:abstractNum>
  <w:abstractNum w:abstractNumId="1" w15:restartNumberingAfterBreak="0">
    <w:nsid w:val="25DA55AB"/>
    <w:multiLevelType w:val="hybridMultilevel"/>
    <w:tmpl w:val="886634AC"/>
    <w:lvl w:ilvl="0" w:tplc="04A6AEEC">
      <w:start w:val="1"/>
      <w:numFmt w:val="bullet"/>
      <w:lvlText w:val=""/>
      <w:lvlJc w:val="left"/>
      <w:pPr>
        <w:tabs>
          <w:tab w:val="num" w:pos="720"/>
        </w:tabs>
        <w:ind w:left="720" w:hanging="360"/>
      </w:pPr>
      <w:rPr>
        <w:rFonts w:ascii="Wingdings" w:hAnsi="Wingdings" w:hint="default"/>
      </w:rPr>
    </w:lvl>
    <w:lvl w:ilvl="1" w:tplc="2794D7E4" w:tentative="1">
      <w:start w:val="1"/>
      <w:numFmt w:val="bullet"/>
      <w:lvlText w:val=""/>
      <w:lvlJc w:val="left"/>
      <w:pPr>
        <w:tabs>
          <w:tab w:val="num" w:pos="1440"/>
        </w:tabs>
        <w:ind w:left="1440" w:hanging="360"/>
      </w:pPr>
      <w:rPr>
        <w:rFonts w:ascii="Wingdings" w:hAnsi="Wingdings" w:hint="default"/>
      </w:rPr>
    </w:lvl>
    <w:lvl w:ilvl="2" w:tplc="D94CF5AA" w:tentative="1">
      <w:start w:val="1"/>
      <w:numFmt w:val="bullet"/>
      <w:lvlText w:val=""/>
      <w:lvlJc w:val="left"/>
      <w:pPr>
        <w:tabs>
          <w:tab w:val="num" w:pos="2160"/>
        </w:tabs>
        <w:ind w:left="2160" w:hanging="360"/>
      </w:pPr>
      <w:rPr>
        <w:rFonts w:ascii="Wingdings" w:hAnsi="Wingdings" w:hint="default"/>
      </w:rPr>
    </w:lvl>
    <w:lvl w:ilvl="3" w:tplc="20A60386" w:tentative="1">
      <w:start w:val="1"/>
      <w:numFmt w:val="bullet"/>
      <w:lvlText w:val=""/>
      <w:lvlJc w:val="left"/>
      <w:pPr>
        <w:tabs>
          <w:tab w:val="num" w:pos="2880"/>
        </w:tabs>
        <w:ind w:left="2880" w:hanging="360"/>
      </w:pPr>
      <w:rPr>
        <w:rFonts w:ascii="Wingdings" w:hAnsi="Wingdings" w:hint="default"/>
      </w:rPr>
    </w:lvl>
    <w:lvl w:ilvl="4" w:tplc="A3DA9140" w:tentative="1">
      <w:start w:val="1"/>
      <w:numFmt w:val="bullet"/>
      <w:lvlText w:val=""/>
      <w:lvlJc w:val="left"/>
      <w:pPr>
        <w:tabs>
          <w:tab w:val="num" w:pos="3600"/>
        </w:tabs>
        <w:ind w:left="3600" w:hanging="360"/>
      </w:pPr>
      <w:rPr>
        <w:rFonts w:ascii="Wingdings" w:hAnsi="Wingdings" w:hint="default"/>
      </w:rPr>
    </w:lvl>
    <w:lvl w:ilvl="5" w:tplc="EF4CF014" w:tentative="1">
      <w:start w:val="1"/>
      <w:numFmt w:val="bullet"/>
      <w:lvlText w:val=""/>
      <w:lvlJc w:val="left"/>
      <w:pPr>
        <w:tabs>
          <w:tab w:val="num" w:pos="4320"/>
        </w:tabs>
        <w:ind w:left="4320" w:hanging="360"/>
      </w:pPr>
      <w:rPr>
        <w:rFonts w:ascii="Wingdings" w:hAnsi="Wingdings" w:hint="default"/>
      </w:rPr>
    </w:lvl>
    <w:lvl w:ilvl="6" w:tplc="B0D46BEC" w:tentative="1">
      <w:start w:val="1"/>
      <w:numFmt w:val="bullet"/>
      <w:lvlText w:val=""/>
      <w:lvlJc w:val="left"/>
      <w:pPr>
        <w:tabs>
          <w:tab w:val="num" w:pos="5040"/>
        </w:tabs>
        <w:ind w:left="5040" w:hanging="360"/>
      </w:pPr>
      <w:rPr>
        <w:rFonts w:ascii="Wingdings" w:hAnsi="Wingdings" w:hint="default"/>
      </w:rPr>
    </w:lvl>
    <w:lvl w:ilvl="7" w:tplc="B2444698" w:tentative="1">
      <w:start w:val="1"/>
      <w:numFmt w:val="bullet"/>
      <w:lvlText w:val=""/>
      <w:lvlJc w:val="left"/>
      <w:pPr>
        <w:tabs>
          <w:tab w:val="num" w:pos="5760"/>
        </w:tabs>
        <w:ind w:left="5760" w:hanging="360"/>
      </w:pPr>
      <w:rPr>
        <w:rFonts w:ascii="Wingdings" w:hAnsi="Wingdings" w:hint="default"/>
      </w:rPr>
    </w:lvl>
    <w:lvl w:ilvl="8" w:tplc="9EDCCB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954073"/>
    <w:multiLevelType w:val="hybridMultilevel"/>
    <w:tmpl w:val="96C0E29E"/>
    <w:lvl w:ilvl="0" w:tplc="86FA8E8C">
      <w:start w:val="1"/>
      <w:numFmt w:val="bullet"/>
      <w:lvlText w:val="•"/>
      <w:lvlJc w:val="left"/>
      <w:pPr>
        <w:tabs>
          <w:tab w:val="num" w:pos="720"/>
        </w:tabs>
        <w:ind w:left="720" w:hanging="360"/>
      </w:pPr>
      <w:rPr>
        <w:rFonts w:ascii="Arial" w:hAnsi="Arial" w:hint="default"/>
      </w:rPr>
    </w:lvl>
    <w:lvl w:ilvl="1" w:tplc="39062B08">
      <w:numFmt w:val="bullet"/>
      <w:lvlText w:val=""/>
      <w:lvlJc w:val="left"/>
      <w:pPr>
        <w:tabs>
          <w:tab w:val="num" w:pos="1440"/>
        </w:tabs>
        <w:ind w:left="1440" w:hanging="360"/>
      </w:pPr>
      <w:rPr>
        <w:rFonts w:ascii="Wingdings" w:hAnsi="Wingdings" w:hint="default"/>
      </w:rPr>
    </w:lvl>
    <w:lvl w:ilvl="2" w:tplc="1660AE68" w:tentative="1">
      <w:start w:val="1"/>
      <w:numFmt w:val="bullet"/>
      <w:lvlText w:val="•"/>
      <w:lvlJc w:val="left"/>
      <w:pPr>
        <w:tabs>
          <w:tab w:val="num" w:pos="2160"/>
        </w:tabs>
        <w:ind w:left="2160" w:hanging="360"/>
      </w:pPr>
      <w:rPr>
        <w:rFonts w:ascii="Arial" w:hAnsi="Arial" w:hint="default"/>
      </w:rPr>
    </w:lvl>
    <w:lvl w:ilvl="3" w:tplc="4380FEDC" w:tentative="1">
      <w:start w:val="1"/>
      <w:numFmt w:val="bullet"/>
      <w:lvlText w:val="•"/>
      <w:lvlJc w:val="left"/>
      <w:pPr>
        <w:tabs>
          <w:tab w:val="num" w:pos="2880"/>
        </w:tabs>
        <w:ind w:left="2880" w:hanging="360"/>
      </w:pPr>
      <w:rPr>
        <w:rFonts w:ascii="Arial" w:hAnsi="Arial" w:hint="default"/>
      </w:rPr>
    </w:lvl>
    <w:lvl w:ilvl="4" w:tplc="C7A6CBE0" w:tentative="1">
      <w:start w:val="1"/>
      <w:numFmt w:val="bullet"/>
      <w:lvlText w:val="•"/>
      <w:lvlJc w:val="left"/>
      <w:pPr>
        <w:tabs>
          <w:tab w:val="num" w:pos="3600"/>
        </w:tabs>
        <w:ind w:left="3600" w:hanging="360"/>
      </w:pPr>
      <w:rPr>
        <w:rFonts w:ascii="Arial" w:hAnsi="Arial" w:hint="default"/>
      </w:rPr>
    </w:lvl>
    <w:lvl w:ilvl="5" w:tplc="FC8650FE" w:tentative="1">
      <w:start w:val="1"/>
      <w:numFmt w:val="bullet"/>
      <w:lvlText w:val="•"/>
      <w:lvlJc w:val="left"/>
      <w:pPr>
        <w:tabs>
          <w:tab w:val="num" w:pos="4320"/>
        </w:tabs>
        <w:ind w:left="4320" w:hanging="360"/>
      </w:pPr>
      <w:rPr>
        <w:rFonts w:ascii="Arial" w:hAnsi="Arial" w:hint="default"/>
      </w:rPr>
    </w:lvl>
    <w:lvl w:ilvl="6" w:tplc="B262E024" w:tentative="1">
      <w:start w:val="1"/>
      <w:numFmt w:val="bullet"/>
      <w:lvlText w:val="•"/>
      <w:lvlJc w:val="left"/>
      <w:pPr>
        <w:tabs>
          <w:tab w:val="num" w:pos="5040"/>
        </w:tabs>
        <w:ind w:left="5040" w:hanging="360"/>
      </w:pPr>
      <w:rPr>
        <w:rFonts w:ascii="Arial" w:hAnsi="Arial" w:hint="default"/>
      </w:rPr>
    </w:lvl>
    <w:lvl w:ilvl="7" w:tplc="6EC01B4C" w:tentative="1">
      <w:start w:val="1"/>
      <w:numFmt w:val="bullet"/>
      <w:lvlText w:val="•"/>
      <w:lvlJc w:val="left"/>
      <w:pPr>
        <w:tabs>
          <w:tab w:val="num" w:pos="5760"/>
        </w:tabs>
        <w:ind w:left="5760" w:hanging="360"/>
      </w:pPr>
      <w:rPr>
        <w:rFonts w:ascii="Arial" w:hAnsi="Arial" w:hint="default"/>
      </w:rPr>
    </w:lvl>
    <w:lvl w:ilvl="8" w:tplc="91865A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304E20"/>
    <w:multiLevelType w:val="hybridMultilevel"/>
    <w:tmpl w:val="E6D05FA2"/>
    <w:lvl w:ilvl="0" w:tplc="3D3811B2">
      <w:start w:val="1"/>
      <w:numFmt w:val="bullet"/>
      <w:lvlText w:val=""/>
      <w:lvlJc w:val="left"/>
      <w:pPr>
        <w:tabs>
          <w:tab w:val="num" w:pos="720"/>
        </w:tabs>
        <w:ind w:left="720" w:hanging="360"/>
      </w:pPr>
      <w:rPr>
        <w:rFonts w:ascii="Wingdings" w:hAnsi="Wingdings" w:hint="default"/>
      </w:rPr>
    </w:lvl>
    <w:lvl w:ilvl="1" w:tplc="50C4C852" w:tentative="1">
      <w:start w:val="1"/>
      <w:numFmt w:val="bullet"/>
      <w:lvlText w:val=""/>
      <w:lvlJc w:val="left"/>
      <w:pPr>
        <w:tabs>
          <w:tab w:val="num" w:pos="1440"/>
        </w:tabs>
        <w:ind w:left="1440" w:hanging="360"/>
      </w:pPr>
      <w:rPr>
        <w:rFonts w:ascii="Wingdings" w:hAnsi="Wingdings" w:hint="default"/>
      </w:rPr>
    </w:lvl>
    <w:lvl w:ilvl="2" w:tplc="9E58FEDC" w:tentative="1">
      <w:start w:val="1"/>
      <w:numFmt w:val="bullet"/>
      <w:lvlText w:val=""/>
      <w:lvlJc w:val="left"/>
      <w:pPr>
        <w:tabs>
          <w:tab w:val="num" w:pos="2160"/>
        </w:tabs>
        <w:ind w:left="2160" w:hanging="360"/>
      </w:pPr>
      <w:rPr>
        <w:rFonts w:ascii="Wingdings" w:hAnsi="Wingdings" w:hint="default"/>
      </w:rPr>
    </w:lvl>
    <w:lvl w:ilvl="3" w:tplc="F4D8A38A" w:tentative="1">
      <w:start w:val="1"/>
      <w:numFmt w:val="bullet"/>
      <w:lvlText w:val=""/>
      <w:lvlJc w:val="left"/>
      <w:pPr>
        <w:tabs>
          <w:tab w:val="num" w:pos="2880"/>
        </w:tabs>
        <w:ind w:left="2880" w:hanging="360"/>
      </w:pPr>
      <w:rPr>
        <w:rFonts w:ascii="Wingdings" w:hAnsi="Wingdings" w:hint="default"/>
      </w:rPr>
    </w:lvl>
    <w:lvl w:ilvl="4" w:tplc="564E6DCE" w:tentative="1">
      <w:start w:val="1"/>
      <w:numFmt w:val="bullet"/>
      <w:lvlText w:val=""/>
      <w:lvlJc w:val="left"/>
      <w:pPr>
        <w:tabs>
          <w:tab w:val="num" w:pos="3600"/>
        </w:tabs>
        <w:ind w:left="3600" w:hanging="360"/>
      </w:pPr>
      <w:rPr>
        <w:rFonts w:ascii="Wingdings" w:hAnsi="Wingdings" w:hint="default"/>
      </w:rPr>
    </w:lvl>
    <w:lvl w:ilvl="5" w:tplc="0AE68EEA" w:tentative="1">
      <w:start w:val="1"/>
      <w:numFmt w:val="bullet"/>
      <w:lvlText w:val=""/>
      <w:lvlJc w:val="left"/>
      <w:pPr>
        <w:tabs>
          <w:tab w:val="num" w:pos="4320"/>
        </w:tabs>
        <w:ind w:left="4320" w:hanging="360"/>
      </w:pPr>
      <w:rPr>
        <w:rFonts w:ascii="Wingdings" w:hAnsi="Wingdings" w:hint="default"/>
      </w:rPr>
    </w:lvl>
    <w:lvl w:ilvl="6" w:tplc="1C22AF14" w:tentative="1">
      <w:start w:val="1"/>
      <w:numFmt w:val="bullet"/>
      <w:lvlText w:val=""/>
      <w:lvlJc w:val="left"/>
      <w:pPr>
        <w:tabs>
          <w:tab w:val="num" w:pos="5040"/>
        </w:tabs>
        <w:ind w:left="5040" w:hanging="360"/>
      </w:pPr>
      <w:rPr>
        <w:rFonts w:ascii="Wingdings" w:hAnsi="Wingdings" w:hint="default"/>
      </w:rPr>
    </w:lvl>
    <w:lvl w:ilvl="7" w:tplc="07A47BCE" w:tentative="1">
      <w:start w:val="1"/>
      <w:numFmt w:val="bullet"/>
      <w:lvlText w:val=""/>
      <w:lvlJc w:val="left"/>
      <w:pPr>
        <w:tabs>
          <w:tab w:val="num" w:pos="5760"/>
        </w:tabs>
        <w:ind w:left="5760" w:hanging="360"/>
      </w:pPr>
      <w:rPr>
        <w:rFonts w:ascii="Wingdings" w:hAnsi="Wingdings" w:hint="default"/>
      </w:rPr>
    </w:lvl>
    <w:lvl w:ilvl="8" w:tplc="F58A38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E4345"/>
    <w:multiLevelType w:val="hybridMultilevel"/>
    <w:tmpl w:val="D9F07E14"/>
    <w:lvl w:ilvl="0" w:tplc="5310DF48">
      <w:start w:val="1"/>
      <w:numFmt w:val="bullet"/>
      <w:lvlText w:val="•"/>
      <w:lvlJc w:val="left"/>
      <w:pPr>
        <w:tabs>
          <w:tab w:val="num" w:pos="720"/>
        </w:tabs>
        <w:ind w:left="720" w:hanging="360"/>
      </w:pPr>
      <w:rPr>
        <w:rFonts w:ascii="Arial" w:hAnsi="Arial" w:hint="default"/>
      </w:rPr>
    </w:lvl>
    <w:lvl w:ilvl="1" w:tplc="83EC8B12" w:tentative="1">
      <w:start w:val="1"/>
      <w:numFmt w:val="bullet"/>
      <w:lvlText w:val="•"/>
      <w:lvlJc w:val="left"/>
      <w:pPr>
        <w:tabs>
          <w:tab w:val="num" w:pos="1440"/>
        </w:tabs>
        <w:ind w:left="1440" w:hanging="360"/>
      </w:pPr>
      <w:rPr>
        <w:rFonts w:ascii="Arial" w:hAnsi="Arial" w:hint="default"/>
      </w:rPr>
    </w:lvl>
    <w:lvl w:ilvl="2" w:tplc="A3961D9A" w:tentative="1">
      <w:start w:val="1"/>
      <w:numFmt w:val="bullet"/>
      <w:lvlText w:val="•"/>
      <w:lvlJc w:val="left"/>
      <w:pPr>
        <w:tabs>
          <w:tab w:val="num" w:pos="2160"/>
        </w:tabs>
        <w:ind w:left="2160" w:hanging="360"/>
      </w:pPr>
      <w:rPr>
        <w:rFonts w:ascii="Arial" w:hAnsi="Arial" w:hint="default"/>
      </w:rPr>
    </w:lvl>
    <w:lvl w:ilvl="3" w:tplc="0994D564" w:tentative="1">
      <w:start w:val="1"/>
      <w:numFmt w:val="bullet"/>
      <w:lvlText w:val="•"/>
      <w:lvlJc w:val="left"/>
      <w:pPr>
        <w:tabs>
          <w:tab w:val="num" w:pos="2880"/>
        </w:tabs>
        <w:ind w:left="2880" w:hanging="360"/>
      </w:pPr>
      <w:rPr>
        <w:rFonts w:ascii="Arial" w:hAnsi="Arial" w:hint="default"/>
      </w:rPr>
    </w:lvl>
    <w:lvl w:ilvl="4" w:tplc="1CAA1B68" w:tentative="1">
      <w:start w:val="1"/>
      <w:numFmt w:val="bullet"/>
      <w:lvlText w:val="•"/>
      <w:lvlJc w:val="left"/>
      <w:pPr>
        <w:tabs>
          <w:tab w:val="num" w:pos="3600"/>
        </w:tabs>
        <w:ind w:left="3600" w:hanging="360"/>
      </w:pPr>
      <w:rPr>
        <w:rFonts w:ascii="Arial" w:hAnsi="Arial" w:hint="default"/>
      </w:rPr>
    </w:lvl>
    <w:lvl w:ilvl="5" w:tplc="D276AAFC" w:tentative="1">
      <w:start w:val="1"/>
      <w:numFmt w:val="bullet"/>
      <w:lvlText w:val="•"/>
      <w:lvlJc w:val="left"/>
      <w:pPr>
        <w:tabs>
          <w:tab w:val="num" w:pos="4320"/>
        </w:tabs>
        <w:ind w:left="4320" w:hanging="360"/>
      </w:pPr>
      <w:rPr>
        <w:rFonts w:ascii="Arial" w:hAnsi="Arial" w:hint="default"/>
      </w:rPr>
    </w:lvl>
    <w:lvl w:ilvl="6" w:tplc="190AE2B0" w:tentative="1">
      <w:start w:val="1"/>
      <w:numFmt w:val="bullet"/>
      <w:lvlText w:val="•"/>
      <w:lvlJc w:val="left"/>
      <w:pPr>
        <w:tabs>
          <w:tab w:val="num" w:pos="5040"/>
        </w:tabs>
        <w:ind w:left="5040" w:hanging="360"/>
      </w:pPr>
      <w:rPr>
        <w:rFonts w:ascii="Arial" w:hAnsi="Arial" w:hint="default"/>
      </w:rPr>
    </w:lvl>
    <w:lvl w:ilvl="7" w:tplc="1B84E390" w:tentative="1">
      <w:start w:val="1"/>
      <w:numFmt w:val="bullet"/>
      <w:lvlText w:val="•"/>
      <w:lvlJc w:val="left"/>
      <w:pPr>
        <w:tabs>
          <w:tab w:val="num" w:pos="5760"/>
        </w:tabs>
        <w:ind w:left="5760" w:hanging="360"/>
      </w:pPr>
      <w:rPr>
        <w:rFonts w:ascii="Arial" w:hAnsi="Arial" w:hint="default"/>
      </w:rPr>
    </w:lvl>
    <w:lvl w:ilvl="8" w:tplc="9E9437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120A65"/>
    <w:multiLevelType w:val="hybridMultilevel"/>
    <w:tmpl w:val="F5C08E56"/>
    <w:lvl w:ilvl="0" w:tplc="EEC0EACC">
      <w:start w:val="1"/>
      <w:numFmt w:val="bullet"/>
      <w:lvlText w:val="•"/>
      <w:lvlJc w:val="left"/>
      <w:pPr>
        <w:tabs>
          <w:tab w:val="num" w:pos="720"/>
        </w:tabs>
        <w:ind w:left="720" w:hanging="360"/>
      </w:pPr>
      <w:rPr>
        <w:rFonts w:ascii="Arial" w:hAnsi="Arial" w:hint="default"/>
      </w:rPr>
    </w:lvl>
    <w:lvl w:ilvl="1" w:tplc="4DB4807A" w:tentative="1">
      <w:start w:val="1"/>
      <w:numFmt w:val="bullet"/>
      <w:lvlText w:val="•"/>
      <w:lvlJc w:val="left"/>
      <w:pPr>
        <w:tabs>
          <w:tab w:val="num" w:pos="1440"/>
        </w:tabs>
        <w:ind w:left="1440" w:hanging="360"/>
      </w:pPr>
      <w:rPr>
        <w:rFonts w:ascii="Arial" w:hAnsi="Arial" w:hint="default"/>
      </w:rPr>
    </w:lvl>
    <w:lvl w:ilvl="2" w:tplc="43FA481C" w:tentative="1">
      <w:start w:val="1"/>
      <w:numFmt w:val="bullet"/>
      <w:lvlText w:val="•"/>
      <w:lvlJc w:val="left"/>
      <w:pPr>
        <w:tabs>
          <w:tab w:val="num" w:pos="2160"/>
        </w:tabs>
        <w:ind w:left="2160" w:hanging="360"/>
      </w:pPr>
      <w:rPr>
        <w:rFonts w:ascii="Arial" w:hAnsi="Arial" w:hint="default"/>
      </w:rPr>
    </w:lvl>
    <w:lvl w:ilvl="3" w:tplc="E9D67B9A" w:tentative="1">
      <w:start w:val="1"/>
      <w:numFmt w:val="bullet"/>
      <w:lvlText w:val="•"/>
      <w:lvlJc w:val="left"/>
      <w:pPr>
        <w:tabs>
          <w:tab w:val="num" w:pos="2880"/>
        </w:tabs>
        <w:ind w:left="2880" w:hanging="360"/>
      </w:pPr>
      <w:rPr>
        <w:rFonts w:ascii="Arial" w:hAnsi="Arial" w:hint="default"/>
      </w:rPr>
    </w:lvl>
    <w:lvl w:ilvl="4" w:tplc="432AF1EE" w:tentative="1">
      <w:start w:val="1"/>
      <w:numFmt w:val="bullet"/>
      <w:lvlText w:val="•"/>
      <w:lvlJc w:val="left"/>
      <w:pPr>
        <w:tabs>
          <w:tab w:val="num" w:pos="3600"/>
        </w:tabs>
        <w:ind w:left="3600" w:hanging="360"/>
      </w:pPr>
      <w:rPr>
        <w:rFonts w:ascii="Arial" w:hAnsi="Arial" w:hint="default"/>
      </w:rPr>
    </w:lvl>
    <w:lvl w:ilvl="5" w:tplc="E22A093A" w:tentative="1">
      <w:start w:val="1"/>
      <w:numFmt w:val="bullet"/>
      <w:lvlText w:val="•"/>
      <w:lvlJc w:val="left"/>
      <w:pPr>
        <w:tabs>
          <w:tab w:val="num" w:pos="4320"/>
        </w:tabs>
        <w:ind w:left="4320" w:hanging="360"/>
      </w:pPr>
      <w:rPr>
        <w:rFonts w:ascii="Arial" w:hAnsi="Arial" w:hint="default"/>
      </w:rPr>
    </w:lvl>
    <w:lvl w:ilvl="6" w:tplc="4BBE1302" w:tentative="1">
      <w:start w:val="1"/>
      <w:numFmt w:val="bullet"/>
      <w:lvlText w:val="•"/>
      <w:lvlJc w:val="left"/>
      <w:pPr>
        <w:tabs>
          <w:tab w:val="num" w:pos="5040"/>
        </w:tabs>
        <w:ind w:left="5040" w:hanging="360"/>
      </w:pPr>
      <w:rPr>
        <w:rFonts w:ascii="Arial" w:hAnsi="Arial" w:hint="default"/>
      </w:rPr>
    </w:lvl>
    <w:lvl w:ilvl="7" w:tplc="A620AC5C" w:tentative="1">
      <w:start w:val="1"/>
      <w:numFmt w:val="bullet"/>
      <w:lvlText w:val="•"/>
      <w:lvlJc w:val="left"/>
      <w:pPr>
        <w:tabs>
          <w:tab w:val="num" w:pos="5760"/>
        </w:tabs>
        <w:ind w:left="5760" w:hanging="360"/>
      </w:pPr>
      <w:rPr>
        <w:rFonts w:ascii="Arial" w:hAnsi="Arial" w:hint="default"/>
      </w:rPr>
    </w:lvl>
    <w:lvl w:ilvl="8" w:tplc="B8AC33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54"/>
    <w:rsid w:val="002B734D"/>
    <w:rsid w:val="005C22EE"/>
    <w:rsid w:val="00DF2C8D"/>
    <w:rsid w:val="00EE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83C1"/>
  <w15:chartTrackingRefBased/>
  <w15:docId w15:val="{4FDE0111-DC09-47D3-944E-101CB382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3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73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82990">
      <w:bodyDiv w:val="1"/>
      <w:marLeft w:val="0"/>
      <w:marRight w:val="0"/>
      <w:marTop w:val="0"/>
      <w:marBottom w:val="0"/>
      <w:divBdr>
        <w:top w:val="none" w:sz="0" w:space="0" w:color="auto"/>
        <w:left w:val="none" w:sz="0" w:space="0" w:color="auto"/>
        <w:bottom w:val="none" w:sz="0" w:space="0" w:color="auto"/>
        <w:right w:val="none" w:sz="0" w:space="0" w:color="auto"/>
      </w:divBdr>
      <w:divsChild>
        <w:div w:id="320693247">
          <w:marLeft w:val="490"/>
          <w:marRight w:val="0"/>
          <w:marTop w:val="0"/>
          <w:marBottom w:val="0"/>
          <w:divBdr>
            <w:top w:val="none" w:sz="0" w:space="0" w:color="auto"/>
            <w:left w:val="none" w:sz="0" w:space="0" w:color="auto"/>
            <w:bottom w:val="none" w:sz="0" w:space="0" w:color="auto"/>
            <w:right w:val="none" w:sz="0" w:space="0" w:color="auto"/>
          </w:divBdr>
        </w:div>
        <w:div w:id="535195739">
          <w:marLeft w:val="490"/>
          <w:marRight w:val="0"/>
          <w:marTop w:val="0"/>
          <w:marBottom w:val="0"/>
          <w:divBdr>
            <w:top w:val="none" w:sz="0" w:space="0" w:color="auto"/>
            <w:left w:val="none" w:sz="0" w:space="0" w:color="auto"/>
            <w:bottom w:val="none" w:sz="0" w:space="0" w:color="auto"/>
            <w:right w:val="none" w:sz="0" w:space="0" w:color="auto"/>
          </w:divBdr>
        </w:div>
        <w:div w:id="673841232">
          <w:marLeft w:val="490"/>
          <w:marRight w:val="0"/>
          <w:marTop w:val="0"/>
          <w:marBottom w:val="0"/>
          <w:divBdr>
            <w:top w:val="none" w:sz="0" w:space="0" w:color="auto"/>
            <w:left w:val="none" w:sz="0" w:space="0" w:color="auto"/>
            <w:bottom w:val="none" w:sz="0" w:space="0" w:color="auto"/>
            <w:right w:val="none" w:sz="0" w:space="0" w:color="auto"/>
          </w:divBdr>
        </w:div>
        <w:div w:id="1570769945">
          <w:marLeft w:val="490"/>
          <w:marRight w:val="0"/>
          <w:marTop w:val="0"/>
          <w:marBottom w:val="0"/>
          <w:divBdr>
            <w:top w:val="none" w:sz="0" w:space="0" w:color="auto"/>
            <w:left w:val="none" w:sz="0" w:space="0" w:color="auto"/>
            <w:bottom w:val="none" w:sz="0" w:space="0" w:color="auto"/>
            <w:right w:val="none" w:sz="0" w:space="0" w:color="auto"/>
          </w:divBdr>
        </w:div>
      </w:divsChild>
    </w:div>
    <w:div w:id="478183420">
      <w:bodyDiv w:val="1"/>
      <w:marLeft w:val="0"/>
      <w:marRight w:val="0"/>
      <w:marTop w:val="0"/>
      <w:marBottom w:val="0"/>
      <w:divBdr>
        <w:top w:val="none" w:sz="0" w:space="0" w:color="auto"/>
        <w:left w:val="none" w:sz="0" w:space="0" w:color="auto"/>
        <w:bottom w:val="none" w:sz="0" w:space="0" w:color="auto"/>
        <w:right w:val="none" w:sz="0" w:space="0" w:color="auto"/>
      </w:divBdr>
      <w:divsChild>
        <w:div w:id="1214120529">
          <w:marLeft w:val="490"/>
          <w:marRight w:val="0"/>
          <w:marTop w:val="218"/>
          <w:marBottom w:val="0"/>
          <w:divBdr>
            <w:top w:val="none" w:sz="0" w:space="0" w:color="auto"/>
            <w:left w:val="none" w:sz="0" w:space="0" w:color="auto"/>
            <w:bottom w:val="none" w:sz="0" w:space="0" w:color="auto"/>
            <w:right w:val="none" w:sz="0" w:space="0" w:color="auto"/>
          </w:divBdr>
        </w:div>
        <w:div w:id="1917784212">
          <w:marLeft w:val="490"/>
          <w:marRight w:val="0"/>
          <w:marTop w:val="0"/>
          <w:marBottom w:val="0"/>
          <w:divBdr>
            <w:top w:val="none" w:sz="0" w:space="0" w:color="auto"/>
            <w:left w:val="none" w:sz="0" w:space="0" w:color="auto"/>
            <w:bottom w:val="none" w:sz="0" w:space="0" w:color="auto"/>
            <w:right w:val="none" w:sz="0" w:space="0" w:color="auto"/>
          </w:divBdr>
        </w:div>
        <w:div w:id="1733312870">
          <w:marLeft w:val="490"/>
          <w:marRight w:val="0"/>
          <w:marTop w:val="0"/>
          <w:marBottom w:val="0"/>
          <w:divBdr>
            <w:top w:val="none" w:sz="0" w:space="0" w:color="auto"/>
            <w:left w:val="none" w:sz="0" w:space="0" w:color="auto"/>
            <w:bottom w:val="none" w:sz="0" w:space="0" w:color="auto"/>
            <w:right w:val="none" w:sz="0" w:space="0" w:color="auto"/>
          </w:divBdr>
        </w:div>
        <w:div w:id="1645116234">
          <w:marLeft w:val="490"/>
          <w:marRight w:val="0"/>
          <w:marTop w:val="0"/>
          <w:marBottom w:val="0"/>
          <w:divBdr>
            <w:top w:val="none" w:sz="0" w:space="0" w:color="auto"/>
            <w:left w:val="none" w:sz="0" w:space="0" w:color="auto"/>
            <w:bottom w:val="none" w:sz="0" w:space="0" w:color="auto"/>
            <w:right w:val="none" w:sz="0" w:space="0" w:color="auto"/>
          </w:divBdr>
        </w:div>
        <w:div w:id="2098357428">
          <w:marLeft w:val="490"/>
          <w:marRight w:val="0"/>
          <w:marTop w:val="0"/>
          <w:marBottom w:val="0"/>
          <w:divBdr>
            <w:top w:val="none" w:sz="0" w:space="0" w:color="auto"/>
            <w:left w:val="none" w:sz="0" w:space="0" w:color="auto"/>
            <w:bottom w:val="none" w:sz="0" w:space="0" w:color="auto"/>
            <w:right w:val="none" w:sz="0" w:space="0" w:color="auto"/>
          </w:divBdr>
        </w:div>
        <w:div w:id="1980958502">
          <w:marLeft w:val="490"/>
          <w:marRight w:val="0"/>
          <w:marTop w:val="0"/>
          <w:marBottom w:val="0"/>
          <w:divBdr>
            <w:top w:val="none" w:sz="0" w:space="0" w:color="auto"/>
            <w:left w:val="none" w:sz="0" w:space="0" w:color="auto"/>
            <w:bottom w:val="none" w:sz="0" w:space="0" w:color="auto"/>
            <w:right w:val="none" w:sz="0" w:space="0" w:color="auto"/>
          </w:divBdr>
        </w:div>
        <w:div w:id="1098984165">
          <w:marLeft w:val="490"/>
          <w:marRight w:val="0"/>
          <w:marTop w:val="0"/>
          <w:marBottom w:val="0"/>
          <w:divBdr>
            <w:top w:val="none" w:sz="0" w:space="0" w:color="auto"/>
            <w:left w:val="none" w:sz="0" w:space="0" w:color="auto"/>
            <w:bottom w:val="none" w:sz="0" w:space="0" w:color="auto"/>
            <w:right w:val="none" w:sz="0" w:space="0" w:color="auto"/>
          </w:divBdr>
        </w:div>
      </w:divsChild>
    </w:div>
    <w:div w:id="1073313310">
      <w:bodyDiv w:val="1"/>
      <w:marLeft w:val="0"/>
      <w:marRight w:val="0"/>
      <w:marTop w:val="0"/>
      <w:marBottom w:val="0"/>
      <w:divBdr>
        <w:top w:val="none" w:sz="0" w:space="0" w:color="auto"/>
        <w:left w:val="none" w:sz="0" w:space="0" w:color="auto"/>
        <w:bottom w:val="none" w:sz="0" w:space="0" w:color="auto"/>
        <w:right w:val="none" w:sz="0" w:space="0" w:color="auto"/>
      </w:divBdr>
    </w:div>
    <w:div w:id="1401059418">
      <w:bodyDiv w:val="1"/>
      <w:marLeft w:val="0"/>
      <w:marRight w:val="0"/>
      <w:marTop w:val="0"/>
      <w:marBottom w:val="0"/>
      <w:divBdr>
        <w:top w:val="none" w:sz="0" w:space="0" w:color="auto"/>
        <w:left w:val="none" w:sz="0" w:space="0" w:color="auto"/>
        <w:bottom w:val="none" w:sz="0" w:space="0" w:color="auto"/>
        <w:right w:val="none" w:sz="0" w:space="0" w:color="auto"/>
      </w:divBdr>
      <w:divsChild>
        <w:div w:id="25646668">
          <w:marLeft w:val="245"/>
          <w:marRight w:val="0"/>
          <w:marTop w:val="0"/>
          <w:marBottom w:val="0"/>
          <w:divBdr>
            <w:top w:val="none" w:sz="0" w:space="0" w:color="auto"/>
            <w:left w:val="none" w:sz="0" w:space="0" w:color="auto"/>
            <w:bottom w:val="none" w:sz="0" w:space="0" w:color="auto"/>
            <w:right w:val="none" w:sz="0" w:space="0" w:color="auto"/>
          </w:divBdr>
        </w:div>
      </w:divsChild>
    </w:div>
    <w:div w:id="1756630409">
      <w:bodyDiv w:val="1"/>
      <w:marLeft w:val="0"/>
      <w:marRight w:val="0"/>
      <w:marTop w:val="0"/>
      <w:marBottom w:val="0"/>
      <w:divBdr>
        <w:top w:val="none" w:sz="0" w:space="0" w:color="auto"/>
        <w:left w:val="none" w:sz="0" w:space="0" w:color="auto"/>
        <w:bottom w:val="none" w:sz="0" w:space="0" w:color="auto"/>
        <w:right w:val="none" w:sz="0" w:space="0" w:color="auto"/>
      </w:divBdr>
      <w:divsChild>
        <w:div w:id="1970697690">
          <w:marLeft w:val="490"/>
          <w:marRight w:val="0"/>
          <w:marTop w:val="0"/>
          <w:marBottom w:val="0"/>
          <w:divBdr>
            <w:top w:val="none" w:sz="0" w:space="0" w:color="auto"/>
            <w:left w:val="none" w:sz="0" w:space="0" w:color="auto"/>
            <w:bottom w:val="none" w:sz="0" w:space="0" w:color="auto"/>
            <w:right w:val="none" w:sz="0" w:space="0" w:color="auto"/>
          </w:divBdr>
        </w:div>
        <w:div w:id="1622493217">
          <w:marLeft w:val="490"/>
          <w:marRight w:val="0"/>
          <w:marTop w:val="0"/>
          <w:marBottom w:val="0"/>
          <w:divBdr>
            <w:top w:val="none" w:sz="0" w:space="0" w:color="auto"/>
            <w:left w:val="none" w:sz="0" w:space="0" w:color="auto"/>
            <w:bottom w:val="none" w:sz="0" w:space="0" w:color="auto"/>
            <w:right w:val="none" w:sz="0" w:space="0" w:color="auto"/>
          </w:divBdr>
        </w:div>
        <w:div w:id="1065451041">
          <w:marLeft w:val="490"/>
          <w:marRight w:val="0"/>
          <w:marTop w:val="0"/>
          <w:marBottom w:val="0"/>
          <w:divBdr>
            <w:top w:val="none" w:sz="0" w:space="0" w:color="auto"/>
            <w:left w:val="none" w:sz="0" w:space="0" w:color="auto"/>
            <w:bottom w:val="none" w:sz="0" w:space="0" w:color="auto"/>
            <w:right w:val="none" w:sz="0" w:space="0" w:color="auto"/>
          </w:divBdr>
        </w:div>
        <w:div w:id="1044063826">
          <w:marLeft w:val="1066"/>
          <w:marRight w:val="0"/>
          <w:marTop w:val="0"/>
          <w:marBottom w:val="0"/>
          <w:divBdr>
            <w:top w:val="none" w:sz="0" w:space="0" w:color="auto"/>
            <w:left w:val="none" w:sz="0" w:space="0" w:color="auto"/>
            <w:bottom w:val="none" w:sz="0" w:space="0" w:color="auto"/>
            <w:right w:val="none" w:sz="0" w:space="0" w:color="auto"/>
          </w:divBdr>
        </w:div>
        <w:div w:id="180319745">
          <w:marLeft w:val="1066"/>
          <w:marRight w:val="0"/>
          <w:marTop w:val="0"/>
          <w:marBottom w:val="0"/>
          <w:divBdr>
            <w:top w:val="none" w:sz="0" w:space="0" w:color="auto"/>
            <w:left w:val="none" w:sz="0" w:space="0" w:color="auto"/>
            <w:bottom w:val="none" w:sz="0" w:space="0" w:color="auto"/>
            <w:right w:val="none" w:sz="0" w:space="0" w:color="auto"/>
          </w:divBdr>
        </w:div>
        <w:div w:id="306663091">
          <w:marLeft w:val="1066"/>
          <w:marRight w:val="0"/>
          <w:marTop w:val="0"/>
          <w:marBottom w:val="0"/>
          <w:divBdr>
            <w:top w:val="none" w:sz="0" w:space="0" w:color="auto"/>
            <w:left w:val="none" w:sz="0" w:space="0" w:color="auto"/>
            <w:bottom w:val="none" w:sz="0" w:space="0" w:color="auto"/>
            <w:right w:val="none" w:sz="0" w:space="0" w:color="auto"/>
          </w:divBdr>
        </w:div>
        <w:div w:id="1556549166">
          <w:marLeft w:val="1066"/>
          <w:marRight w:val="0"/>
          <w:marTop w:val="0"/>
          <w:marBottom w:val="0"/>
          <w:divBdr>
            <w:top w:val="none" w:sz="0" w:space="0" w:color="auto"/>
            <w:left w:val="none" w:sz="0" w:space="0" w:color="auto"/>
            <w:bottom w:val="none" w:sz="0" w:space="0" w:color="auto"/>
            <w:right w:val="none" w:sz="0" w:space="0" w:color="auto"/>
          </w:divBdr>
        </w:div>
        <w:div w:id="1501852256">
          <w:marLeft w:val="4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Daunia Pavone</dc:creator>
  <cp:keywords/>
  <dc:description/>
  <cp:lastModifiedBy>Daunia Pavone</cp:lastModifiedBy>
  <cp:revision>2</cp:revision>
  <dcterms:created xsi:type="dcterms:W3CDTF">2020-12-10T22:25:00Z</dcterms:created>
  <dcterms:modified xsi:type="dcterms:W3CDTF">2020-12-10T22:33:00Z</dcterms:modified>
</cp:coreProperties>
</file>